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236C" w14:textId="6BD316EE" w:rsidR="00AA39F7" w:rsidRPr="00A82CD8" w:rsidRDefault="00807D08" w:rsidP="00AA39F7">
      <w:pPr>
        <w:pStyle w:val="BodyText"/>
        <w:spacing w:before="0"/>
        <w:rPr>
          <w:b/>
        </w:rPr>
      </w:pPr>
      <w:r>
        <w:rPr>
          <w:b/>
        </w:rPr>
        <w:t>April</w:t>
      </w:r>
      <w:r w:rsidR="001F2C78">
        <w:rPr>
          <w:b/>
        </w:rPr>
        <w:t xml:space="preserve"> 2021</w:t>
      </w:r>
    </w:p>
    <w:p w14:paraId="21A0CE44" w14:textId="14E89808" w:rsidR="00D3622B" w:rsidRDefault="001064AD" w:rsidP="00AA39F7">
      <w:pPr>
        <w:pStyle w:val="Heading1"/>
        <w:spacing w:before="0" w:after="0"/>
      </w:pPr>
      <w:r>
        <w:t>WHS</w:t>
      </w:r>
      <w:r w:rsidR="00483F19">
        <w:t xml:space="preserve"> </w:t>
      </w:r>
      <w:r>
        <w:t>(MPS) Laws amendments</w:t>
      </w:r>
    </w:p>
    <w:p w14:paraId="75CE8027" w14:textId="779B437E" w:rsidR="00335E69" w:rsidRDefault="00335E69" w:rsidP="00335E69">
      <w:pPr>
        <w:pStyle w:val="BodyText"/>
      </w:pPr>
      <w:r>
        <w:t xml:space="preserve">The NSW Resources Regulator is seeking submissions on </w:t>
      </w:r>
      <w:r w:rsidR="001F2C78">
        <w:t xml:space="preserve">the </w:t>
      </w:r>
      <w:r w:rsidR="001064AD">
        <w:rPr>
          <w:b/>
          <w:bCs/>
        </w:rPr>
        <w:t xml:space="preserve">Discussion paper </w:t>
      </w:r>
      <w:r w:rsidR="001064AD" w:rsidRPr="001064AD">
        <w:t xml:space="preserve">on proposed amendments to the </w:t>
      </w:r>
      <w:r w:rsidR="001064AD" w:rsidRPr="00C56623">
        <w:rPr>
          <w:i/>
          <w:iCs/>
        </w:rPr>
        <w:t>Work Health and Safety Mines and Petroleum Sites Act 2013</w:t>
      </w:r>
      <w:r w:rsidR="001064AD" w:rsidRPr="001064AD">
        <w:t xml:space="preserve"> and</w:t>
      </w:r>
      <w:r w:rsidR="00807D08">
        <w:t xml:space="preserve"> its</w:t>
      </w:r>
      <w:r w:rsidR="001064AD" w:rsidRPr="001064AD">
        <w:t xml:space="preserve"> Regulation</w:t>
      </w:r>
      <w:r w:rsidR="001064AD">
        <w:t>.</w:t>
      </w:r>
    </w:p>
    <w:p w14:paraId="2E9DBDBE" w14:textId="77777777" w:rsidR="00335E69" w:rsidRPr="00646017" w:rsidRDefault="00335E69" w:rsidP="00AA39F7">
      <w:pPr>
        <w:pStyle w:val="Heading4"/>
      </w:pPr>
      <w:r w:rsidRPr="00646017">
        <w:t>How to make a submission</w:t>
      </w:r>
    </w:p>
    <w:p w14:paraId="7484F3FE" w14:textId="72E7CFF9" w:rsidR="00335E69" w:rsidRDefault="00335E69" w:rsidP="00984A50">
      <w:pPr>
        <w:pStyle w:val="BodyText"/>
      </w:pPr>
      <w:r>
        <w:t>You can send questions about the reforms or the submission process to</w:t>
      </w:r>
      <w:r w:rsidR="00984A50">
        <w:t xml:space="preserve"> </w:t>
      </w:r>
      <w:hyperlink r:id="rId9" w:history="1">
        <w:r w:rsidR="00575660" w:rsidRPr="00C11408">
          <w:rPr>
            <w:rStyle w:val="Hyperlink"/>
          </w:rPr>
          <w:t>rr.feedback@planning.nsw.gov.au</w:t>
        </w:r>
      </w:hyperlink>
    </w:p>
    <w:p w14:paraId="2B914C8A" w14:textId="3A1D2666" w:rsidR="00335E69" w:rsidRDefault="00335E69" w:rsidP="00335E69">
      <w:pPr>
        <w:pStyle w:val="BodyText"/>
      </w:pPr>
      <w:r>
        <w:t xml:space="preserve">To make a submission, use this form to comment on the </w:t>
      </w:r>
      <w:r w:rsidR="00807D08">
        <w:t>Discussion paper on proposed amendments to the WHS</w:t>
      </w:r>
      <w:r w:rsidR="00483F19">
        <w:t xml:space="preserve"> </w:t>
      </w:r>
      <w:r w:rsidR="00807D08">
        <w:t>(MPS) Laws</w:t>
      </w:r>
      <w:r>
        <w:t xml:space="preserve"> and return to:</w:t>
      </w:r>
    </w:p>
    <w:p w14:paraId="003207F4" w14:textId="2CF0DFE4" w:rsidR="00335E69" w:rsidRDefault="00335E69" w:rsidP="00335E69">
      <w:pPr>
        <w:pStyle w:val="BodyText"/>
      </w:pPr>
      <w:r w:rsidRPr="002668D7">
        <w:rPr>
          <w:b/>
        </w:rPr>
        <w:t>Email:</w:t>
      </w:r>
      <w:r>
        <w:t xml:space="preserve"> </w:t>
      </w:r>
      <w:hyperlink r:id="rId10" w:history="1">
        <w:r w:rsidRPr="004C114D">
          <w:rPr>
            <w:rStyle w:val="Hyperlink"/>
          </w:rPr>
          <w:t>rr.feedback@planning.nsw.gov.au</w:t>
        </w:r>
      </w:hyperlink>
    </w:p>
    <w:p w14:paraId="1A67C980" w14:textId="20B12767" w:rsidR="00335E69" w:rsidRDefault="00335E69" w:rsidP="00335E69">
      <w:pPr>
        <w:pStyle w:val="BodyText"/>
        <w:spacing w:before="0" w:after="0"/>
      </w:pPr>
      <w:r w:rsidRPr="002668D7">
        <w:rPr>
          <w:b/>
        </w:rPr>
        <w:t>Post:</w:t>
      </w:r>
      <w:r>
        <w:tab/>
      </w:r>
      <w:r w:rsidR="00483F19">
        <w:t>WHS (MPS) Laws amendments</w:t>
      </w:r>
      <w:r>
        <w:t xml:space="preserve"> </w:t>
      </w:r>
    </w:p>
    <w:p w14:paraId="26CE4112" w14:textId="77777777" w:rsidR="00984A50" w:rsidRDefault="00984A50" w:rsidP="00984A50">
      <w:pPr>
        <w:pStyle w:val="BodyText"/>
        <w:spacing w:before="0" w:after="0"/>
        <w:ind w:firstLine="720"/>
      </w:pPr>
      <w:r>
        <w:t>NSW Resources Regulator</w:t>
      </w:r>
    </w:p>
    <w:p w14:paraId="36762426" w14:textId="14EAE082" w:rsidR="00483F19" w:rsidRDefault="00483F19" w:rsidP="00335E69">
      <w:pPr>
        <w:pStyle w:val="BodyText"/>
        <w:spacing w:before="0" w:after="0"/>
        <w:ind w:firstLine="720"/>
      </w:pPr>
      <w:r w:rsidRPr="00B44FA0">
        <w:t>Regulatory Programs</w:t>
      </w:r>
    </w:p>
    <w:p w14:paraId="71EA051F" w14:textId="77777777" w:rsidR="00335E69" w:rsidRDefault="00335E69" w:rsidP="00335E69">
      <w:pPr>
        <w:pStyle w:val="BodyText"/>
        <w:spacing w:before="0"/>
        <w:ind w:firstLine="720"/>
      </w:pPr>
      <w:r>
        <w:t>PO Box 344 Hunter Regional Mail Centre 2310 NSW</w:t>
      </w:r>
    </w:p>
    <w:p w14:paraId="1C89672F" w14:textId="63D678B9" w:rsidR="00335E69" w:rsidRPr="00AA39F7" w:rsidRDefault="00335E69" w:rsidP="00AA39F7">
      <w:pPr>
        <w:pStyle w:val="BodyText"/>
        <w:rPr>
          <w:b/>
          <w:bCs/>
        </w:rPr>
      </w:pPr>
      <w:r w:rsidRPr="00AA39F7">
        <w:rPr>
          <w:b/>
          <w:bCs/>
        </w:rPr>
        <w:t xml:space="preserve">By the closing date: </w:t>
      </w:r>
      <w:r w:rsidR="00100319">
        <w:rPr>
          <w:b/>
          <w:bCs/>
        </w:rPr>
        <w:t>17 May</w:t>
      </w:r>
      <w:r w:rsidR="001F2C78">
        <w:rPr>
          <w:b/>
          <w:bCs/>
        </w:rPr>
        <w:t xml:space="preserve"> 2021</w:t>
      </w:r>
    </w:p>
    <w:p w14:paraId="33D2FB41" w14:textId="77777777" w:rsidR="00984A50" w:rsidRDefault="00984A50" w:rsidP="00575660">
      <w:pPr>
        <w:pStyle w:val="BodyText"/>
      </w:pPr>
    </w:p>
    <w:p w14:paraId="37356868" w14:textId="64F205BC" w:rsidR="001F5E0D" w:rsidRDefault="001F5E0D" w:rsidP="00575660">
      <w:pPr>
        <w:pStyle w:val="BodyText"/>
        <w:rPr>
          <w:rFonts w:ascii="Arial" w:hAnsi="Arial"/>
          <w:b/>
          <w:color w:val="0A7CB9"/>
          <w:sz w:val="48"/>
          <w:szCs w:val="60"/>
          <w:lang w:eastAsia="en-AU"/>
        </w:rPr>
      </w:pPr>
      <w:r w:rsidRPr="001B4955">
        <w:t xml:space="preserve">As part of our </w:t>
      </w:r>
      <w:r w:rsidR="00335E69" w:rsidRPr="001B4955">
        <w:t>public consultation processes, we will publish copies of all submissions on our</w:t>
      </w:r>
      <w:r w:rsidRPr="001B4955">
        <w:t xml:space="preserve"> </w:t>
      </w:r>
      <w:r w:rsidR="00335E69" w:rsidRPr="001B4955">
        <w:t>website at the conclusion of the consultation period. Publishing all public submissions received will</w:t>
      </w:r>
      <w:r w:rsidRPr="001B4955">
        <w:t xml:space="preserve"> </w:t>
      </w:r>
      <w:r w:rsidR="00335E69" w:rsidRPr="001B4955">
        <w:t>ensure transparency around the feedback. As a general rule, all public submissions</w:t>
      </w:r>
      <w:r w:rsidRPr="001B4955">
        <w:t xml:space="preserve"> </w:t>
      </w:r>
      <w:r w:rsidR="00335E69" w:rsidRPr="001B4955">
        <w:t>will be published in full (excluding contact details). In exceptional circumstances, we may consider</w:t>
      </w:r>
      <w:r w:rsidRPr="001B4955">
        <w:t xml:space="preserve"> </w:t>
      </w:r>
      <w:r w:rsidR="00335E69" w:rsidRPr="001B4955">
        <w:t>withholding the identity of a submitter when publishing their submission (i.e. if there are legitimate</w:t>
      </w:r>
      <w:r w:rsidRPr="001B4955">
        <w:t xml:space="preserve"> </w:t>
      </w:r>
      <w:r w:rsidR="00335E69" w:rsidRPr="001B4955">
        <w:t>concerns around personal security/safety). Please advise us if you want your identify withheld, including</w:t>
      </w:r>
      <w:r w:rsidRPr="001B4955">
        <w:t xml:space="preserve"> the </w:t>
      </w:r>
      <w:r w:rsidR="00335E69" w:rsidRPr="001B4955">
        <w:t xml:space="preserve">reasons. Your submission will be managed and retained in accordance with the </w:t>
      </w:r>
      <w:r w:rsidR="00335E69" w:rsidRPr="00704FA4">
        <w:rPr>
          <w:i/>
          <w:iCs/>
        </w:rPr>
        <w:t>State Records Act 1998</w:t>
      </w:r>
      <w:r w:rsidRPr="00704FA4">
        <w:rPr>
          <w:i/>
          <w:iCs/>
        </w:rPr>
        <w:t xml:space="preserve"> </w:t>
      </w:r>
      <w:r w:rsidR="00335E69" w:rsidRPr="00704FA4">
        <w:t>and the</w:t>
      </w:r>
      <w:r w:rsidR="00335E69" w:rsidRPr="00704FA4">
        <w:rPr>
          <w:i/>
          <w:iCs/>
        </w:rPr>
        <w:t xml:space="preserve"> Government Information (Public Access) Act 2009</w:t>
      </w:r>
      <w:r w:rsidR="00335E69" w:rsidRPr="001B4955">
        <w:t>.</w:t>
      </w:r>
      <w:r>
        <w:rPr>
          <w:lang w:eastAsia="en-AU"/>
        </w:rPr>
        <w:br w:type="page"/>
      </w:r>
    </w:p>
    <w:p w14:paraId="02303933" w14:textId="6F5F5464" w:rsidR="00335E69" w:rsidRDefault="00335E69" w:rsidP="00335E69">
      <w:pPr>
        <w:pStyle w:val="Heading1"/>
        <w:rPr>
          <w:lang w:eastAsia="en-AU"/>
        </w:rPr>
      </w:pPr>
      <w:r>
        <w:rPr>
          <w:lang w:eastAsia="en-AU"/>
        </w:rPr>
        <w:lastRenderedPageBreak/>
        <w:t>Feedback Form</w:t>
      </w:r>
    </w:p>
    <w:p w14:paraId="0F0EFFF8" w14:textId="77777777" w:rsidR="00335E69" w:rsidRPr="00A37EC9" w:rsidRDefault="00335E69" w:rsidP="00335E69">
      <w:pPr>
        <w:pStyle w:val="BodyText"/>
        <w:rPr>
          <w:i/>
        </w:rPr>
      </w:pPr>
      <w:r w:rsidRPr="00A37EC9">
        <w:rPr>
          <w:i/>
          <w:lang w:eastAsia="en-AU"/>
        </w:rPr>
        <w:t>* Required field</w:t>
      </w:r>
      <w:r w:rsidRPr="00A37EC9">
        <w:rPr>
          <w:i/>
        </w:rPr>
        <w:t xml:space="preserve"> </w:t>
      </w:r>
    </w:p>
    <w:p w14:paraId="4D7E878A" w14:textId="77777777" w:rsidR="00335E69" w:rsidRDefault="00335E69" w:rsidP="00335E69">
      <w:pPr>
        <w:pStyle w:val="Heading2"/>
      </w:pPr>
      <w:r>
        <w:t>Contact details</w:t>
      </w:r>
      <w:r>
        <w:rPr>
          <w:lang w:eastAsia="en-AU"/>
        </w:rPr>
        <w:t xml:space="preserve"> </w:t>
      </w:r>
    </w:p>
    <w:tbl>
      <w:tblPr>
        <w:tblStyle w:val="TableGridLight"/>
        <w:tblW w:w="0" w:type="auto"/>
        <w:tblLook w:val="04A0" w:firstRow="1" w:lastRow="0" w:firstColumn="1" w:lastColumn="0" w:noHBand="0" w:noVBand="1"/>
      </w:tblPr>
      <w:tblGrid>
        <w:gridCol w:w="1273"/>
        <w:gridCol w:w="3817"/>
        <w:gridCol w:w="722"/>
        <w:gridCol w:w="1413"/>
        <w:gridCol w:w="1272"/>
        <w:gridCol w:w="1697"/>
      </w:tblGrid>
      <w:tr w:rsidR="00335E69" w14:paraId="6F97EDBD" w14:textId="77777777" w:rsidTr="00807AEF">
        <w:tc>
          <w:tcPr>
            <w:tcW w:w="5090" w:type="dxa"/>
            <w:gridSpan w:val="2"/>
          </w:tcPr>
          <w:p w14:paraId="0A229DB1" w14:textId="77777777" w:rsidR="00335E69" w:rsidRPr="00810A68" w:rsidRDefault="00335E69" w:rsidP="00807AEF">
            <w:pPr>
              <w:pStyle w:val="tablebody"/>
            </w:pPr>
            <w:r>
              <w:t>Name*</w:t>
            </w:r>
          </w:p>
        </w:tc>
        <w:tc>
          <w:tcPr>
            <w:tcW w:w="5104" w:type="dxa"/>
            <w:gridSpan w:val="4"/>
          </w:tcPr>
          <w:p w14:paraId="6D0839A2"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32AD2104" w14:textId="77777777" w:rsidTr="00807AEF">
        <w:tc>
          <w:tcPr>
            <w:tcW w:w="5090" w:type="dxa"/>
            <w:gridSpan w:val="2"/>
          </w:tcPr>
          <w:p w14:paraId="32886F76" w14:textId="77777777" w:rsidR="00335E69" w:rsidRPr="00810A68" w:rsidRDefault="00335E69" w:rsidP="00807AEF">
            <w:pPr>
              <w:pStyle w:val="tablebody"/>
            </w:pPr>
            <w:r w:rsidRPr="00810A68">
              <w:t>Email address*</w:t>
            </w:r>
          </w:p>
        </w:tc>
        <w:tc>
          <w:tcPr>
            <w:tcW w:w="5104" w:type="dxa"/>
            <w:gridSpan w:val="4"/>
          </w:tcPr>
          <w:p w14:paraId="3728C8D3"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BE17F7B" w14:textId="77777777" w:rsidTr="00807AEF">
        <w:tc>
          <w:tcPr>
            <w:tcW w:w="5090" w:type="dxa"/>
            <w:gridSpan w:val="2"/>
          </w:tcPr>
          <w:p w14:paraId="36D8728A" w14:textId="77777777" w:rsidR="00335E69" w:rsidRPr="00810A68" w:rsidRDefault="00335E69" w:rsidP="00807AEF">
            <w:pPr>
              <w:pStyle w:val="tablebody"/>
            </w:pPr>
            <w:r>
              <w:t>Street address</w:t>
            </w:r>
          </w:p>
        </w:tc>
        <w:tc>
          <w:tcPr>
            <w:tcW w:w="5104" w:type="dxa"/>
            <w:gridSpan w:val="4"/>
          </w:tcPr>
          <w:p w14:paraId="28AEFB0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62E83905" w14:textId="77777777" w:rsidTr="00807AEF">
        <w:tc>
          <w:tcPr>
            <w:tcW w:w="1273" w:type="dxa"/>
          </w:tcPr>
          <w:p w14:paraId="74E46B25" w14:textId="77777777" w:rsidR="00335E69" w:rsidRPr="00810A68" w:rsidRDefault="00335E69" w:rsidP="00807AEF">
            <w:pPr>
              <w:pStyle w:val="tablebody"/>
            </w:pPr>
            <w:r>
              <w:t>Suburb</w:t>
            </w:r>
          </w:p>
        </w:tc>
        <w:tc>
          <w:tcPr>
            <w:tcW w:w="3817" w:type="dxa"/>
          </w:tcPr>
          <w:p w14:paraId="79EF65FF"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7028D5B4" w14:textId="77777777" w:rsidR="00335E69" w:rsidRDefault="00335E69" w:rsidP="00807AEF">
            <w:pPr>
              <w:pStyle w:val="tablebody"/>
              <w:rPr>
                <w:lang w:eastAsia="en-AU"/>
              </w:rPr>
            </w:pPr>
            <w:r>
              <w:rPr>
                <w:lang w:eastAsia="en-AU"/>
              </w:rPr>
              <w:t>State</w:t>
            </w:r>
          </w:p>
        </w:tc>
        <w:tc>
          <w:tcPr>
            <w:tcW w:w="1413" w:type="dxa"/>
          </w:tcPr>
          <w:p w14:paraId="699B5426"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06F81617" w14:textId="77777777" w:rsidR="00335E69" w:rsidRDefault="00335E69" w:rsidP="00807AEF">
            <w:pPr>
              <w:pStyle w:val="tablebody"/>
              <w:rPr>
                <w:lang w:eastAsia="en-AU"/>
              </w:rPr>
            </w:pPr>
            <w:r>
              <w:rPr>
                <w:lang w:eastAsia="en-AU"/>
              </w:rPr>
              <w:t>Postcode</w:t>
            </w:r>
          </w:p>
        </w:tc>
        <w:tc>
          <w:tcPr>
            <w:tcW w:w="1697" w:type="dxa"/>
          </w:tcPr>
          <w:p w14:paraId="7674337D"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4446809B" w14:textId="77777777" w:rsidTr="00807AEF">
        <w:tc>
          <w:tcPr>
            <w:tcW w:w="5090" w:type="dxa"/>
            <w:gridSpan w:val="2"/>
          </w:tcPr>
          <w:p w14:paraId="01E06357" w14:textId="77777777" w:rsidR="00335E69" w:rsidRPr="00810A68" w:rsidRDefault="00335E69" w:rsidP="00807AEF">
            <w:pPr>
              <w:pStyle w:val="tablebody"/>
            </w:pPr>
            <w:r>
              <w:t>Postal address (if different from above)</w:t>
            </w:r>
          </w:p>
        </w:tc>
        <w:tc>
          <w:tcPr>
            <w:tcW w:w="5104" w:type="dxa"/>
            <w:gridSpan w:val="4"/>
          </w:tcPr>
          <w:p w14:paraId="184FB103"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4B7AF8A" w14:textId="77777777" w:rsidTr="00807AEF">
        <w:tc>
          <w:tcPr>
            <w:tcW w:w="1273" w:type="dxa"/>
          </w:tcPr>
          <w:p w14:paraId="5FC093D9" w14:textId="77777777" w:rsidR="00335E69" w:rsidRPr="00810A68" w:rsidRDefault="00335E69" w:rsidP="00807AEF">
            <w:pPr>
              <w:pStyle w:val="tablebody"/>
            </w:pPr>
            <w:r>
              <w:t>Suburb</w:t>
            </w:r>
          </w:p>
        </w:tc>
        <w:tc>
          <w:tcPr>
            <w:tcW w:w="3817" w:type="dxa"/>
          </w:tcPr>
          <w:p w14:paraId="79F4C7FE"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3EA94526" w14:textId="77777777" w:rsidR="00335E69" w:rsidRDefault="00335E69" w:rsidP="00807AEF">
            <w:pPr>
              <w:pStyle w:val="tablebody"/>
              <w:rPr>
                <w:lang w:eastAsia="en-AU"/>
              </w:rPr>
            </w:pPr>
            <w:r>
              <w:rPr>
                <w:lang w:eastAsia="en-AU"/>
              </w:rPr>
              <w:t>State</w:t>
            </w:r>
          </w:p>
        </w:tc>
        <w:tc>
          <w:tcPr>
            <w:tcW w:w="1413" w:type="dxa"/>
          </w:tcPr>
          <w:p w14:paraId="7ECE8F9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55680E1D" w14:textId="77777777" w:rsidR="00335E69" w:rsidRDefault="00335E69" w:rsidP="00807AEF">
            <w:pPr>
              <w:pStyle w:val="tablebody"/>
              <w:rPr>
                <w:lang w:eastAsia="en-AU"/>
              </w:rPr>
            </w:pPr>
            <w:r>
              <w:rPr>
                <w:lang w:eastAsia="en-AU"/>
              </w:rPr>
              <w:t>Postcode</w:t>
            </w:r>
          </w:p>
        </w:tc>
        <w:tc>
          <w:tcPr>
            <w:tcW w:w="1697" w:type="dxa"/>
          </w:tcPr>
          <w:p w14:paraId="13F26274"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5D63234" w14:textId="77777777" w:rsidR="00335E69" w:rsidRPr="00921047" w:rsidRDefault="00335E69" w:rsidP="00335E69">
      <w:pPr>
        <w:pStyle w:val="Heading2"/>
      </w:pPr>
      <w:r w:rsidRPr="00921047">
        <w:t>Org</w:t>
      </w:r>
      <w:r w:rsidRPr="00921047">
        <w:rPr>
          <w:rStyle w:val="Heading2Char"/>
          <w:b/>
          <w:bCs/>
        </w:rPr>
        <w:t>anisation</w:t>
      </w:r>
    </w:p>
    <w:tbl>
      <w:tblPr>
        <w:tblStyle w:val="TableGridLight"/>
        <w:tblW w:w="0" w:type="auto"/>
        <w:tblLook w:val="04A0" w:firstRow="1" w:lastRow="0" w:firstColumn="1" w:lastColumn="0" w:noHBand="0" w:noVBand="1"/>
      </w:tblPr>
      <w:tblGrid>
        <w:gridCol w:w="5241"/>
        <w:gridCol w:w="4953"/>
      </w:tblGrid>
      <w:tr w:rsidR="00335E69" w14:paraId="3E126952" w14:textId="77777777" w:rsidTr="00807AEF">
        <w:tc>
          <w:tcPr>
            <w:tcW w:w="5241" w:type="dxa"/>
          </w:tcPr>
          <w:p w14:paraId="2550AC0A" w14:textId="77777777" w:rsidR="00335E69" w:rsidRPr="00810A68" w:rsidRDefault="00335E69" w:rsidP="00807AEF">
            <w:pPr>
              <w:pStyle w:val="tablebody"/>
            </w:pPr>
            <w:r>
              <w:t>Are you an individual representing at organisation?</w:t>
            </w:r>
          </w:p>
        </w:tc>
        <w:tc>
          <w:tcPr>
            <w:tcW w:w="4953" w:type="dxa"/>
          </w:tcPr>
          <w:p w14:paraId="22E4C97C" w14:textId="77777777" w:rsidR="00335E69" w:rsidRDefault="00335E69" w:rsidP="00807AEF">
            <w:pPr>
              <w:pStyle w:val="tablebody"/>
              <w:rPr>
                <w:lang w:eastAsia="en-AU"/>
              </w:rPr>
            </w:pPr>
            <w:r>
              <w:rPr>
                <w:lang w:eastAsia="en-AU"/>
              </w:rPr>
              <w:fldChar w:fldCharType="begin">
                <w:ffData>
                  <w:name w:val="Check1"/>
                  <w:enabled/>
                  <w:calcOnExit w:val="0"/>
                  <w:checkBox>
                    <w:sizeAuto/>
                    <w:default w:val="0"/>
                  </w:checkBox>
                </w:ffData>
              </w:fldChar>
            </w:r>
            <w:bookmarkStart w:id="0" w:name="Check1"/>
            <w:r>
              <w:rPr>
                <w:lang w:eastAsia="en-AU"/>
              </w:rPr>
              <w:instrText xml:space="preserve"> FORMCHECKBOX </w:instrText>
            </w:r>
            <w:r w:rsidR="00063027">
              <w:rPr>
                <w:lang w:eastAsia="en-AU"/>
              </w:rPr>
            </w:r>
            <w:r w:rsidR="00063027">
              <w:rPr>
                <w:lang w:eastAsia="en-AU"/>
              </w:rPr>
              <w:fldChar w:fldCharType="separate"/>
            </w:r>
            <w:r>
              <w:rPr>
                <w:lang w:eastAsia="en-AU"/>
              </w:rPr>
              <w:fldChar w:fldCharType="end"/>
            </w:r>
            <w:bookmarkEnd w:id="0"/>
            <w:r>
              <w:rPr>
                <w:lang w:eastAsia="en-AU"/>
              </w:rPr>
              <w:t xml:space="preserve">  Yes          </w:t>
            </w:r>
            <w:r>
              <w:rPr>
                <w:lang w:eastAsia="en-AU"/>
              </w:rPr>
              <w:fldChar w:fldCharType="begin">
                <w:ffData>
                  <w:name w:val="Check2"/>
                  <w:enabled/>
                  <w:calcOnExit w:val="0"/>
                  <w:checkBox>
                    <w:sizeAuto/>
                    <w:default w:val="0"/>
                  </w:checkBox>
                </w:ffData>
              </w:fldChar>
            </w:r>
            <w:bookmarkStart w:id="1" w:name="Check2"/>
            <w:r>
              <w:rPr>
                <w:lang w:eastAsia="en-AU"/>
              </w:rPr>
              <w:instrText xml:space="preserve"> FORMCHECKBOX </w:instrText>
            </w:r>
            <w:r w:rsidR="00063027">
              <w:rPr>
                <w:lang w:eastAsia="en-AU"/>
              </w:rPr>
            </w:r>
            <w:r w:rsidR="00063027">
              <w:rPr>
                <w:lang w:eastAsia="en-AU"/>
              </w:rPr>
              <w:fldChar w:fldCharType="separate"/>
            </w:r>
            <w:r>
              <w:rPr>
                <w:lang w:eastAsia="en-AU"/>
              </w:rPr>
              <w:fldChar w:fldCharType="end"/>
            </w:r>
            <w:bookmarkEnd w:id="1"/>
            <w:r>
              <w:rPr>
                <w:lang w:eastAsia="en-AU"/>
              </w:rPr>
              <w:t xml:space="preserve">  No</w:t>
            </w:r>
          </w:p>
        </w:tc>
      </w:tr>
      <w:tr w:rsidR="00335E69" w14:paraId="4E23AA71" w14:textId="77777777" w:rsidTr="00807AEF">
        <w:tc>
          <w:tcPr>
            <w:tcW w:w="5241" w:type="dxa"/>
          </w:tcPr>
          <w:p w14:paraId="635F4F5F" w14:textId="24934E9D" w:rsidR="00335E69" w:rsidRPr="00810A68" w:rsidRDefault="00335E69" w:rsidP="00807AEF">
            <w:pPr>
              <w:pStyle w:val="tablebody"/>
            </w:pPr>
            <w:r>
              <w:t>If yes, please provide the organisation</w:t>
            </w:r>
            <w:r w:rsidR="00704FA4">
              <w:t>’</w:t>
            </w:r>
            <w:r>
              <w:t>s name:</w:t>
            </w:r>
          </w:p>
        </w:tc>
        <w:tc>
          <w:tcPr>
            <w:tcW w:w="4953" w:type="dxa"/>
          </w:tcPr>
          <w:p w14:paraId="5A74CE85"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94EA0FE" w14:textId="3FC922DC" w:rsidR="00335E69" w:rsidRPr="007F684D" w:rsidRDefault="00335E69" w:rsidP="00335E69">
      <w:pPr>
        <w:pStyle w:val="Heading2"/>
        <w:rPr>
          <w:rStyle w:val="BodyTextChar"/>
        </w:rPr>
      </w:pPr>
      <w:r>
        <w:t>Privacy</w:t>
      </w:r>
    </w:p>
    <w:tbl>
      <w:tblPr>
        <w:tblStyle w:val="TableGridLight"/>
        <w:tblW w:w="0" w:type="auto"/>
        <w:tblLook w:val="04A0" w:firstRow="1" w:lastRow="0" w:firstColumn="1" w:lastColumn="0" w:noHBand="0" w:noVBand="1"/>
      </w:tblPr>
      <w:tblGrid>
        <w:gridCol w:w="5098"/>
        <w:gridCol w:w="5096"/>
      </w:tblGrid>
      <w:tr w:rsidR="00335E69" w14:paraId="0849F3A4" w14:textId="77777777" w:rsidTr="00807AEF">
        <w:tc>
          <w:tcPr>
            <w:tcW w:w="10194" w:type="dxa"/>
            <w:gridSpan w:val="2"/>
          </w:tcPr>
          <w:p w14:paraId="68831859" w14:textId="150C601E" w:rsidR="00335E69" w:rsidRPr="00932D36" w:rsidRDefault="00335E69" w:rsidP="00807AEF">
            <w:pPr>
              <w:pStyle w:val="BodyText"/>
              <w:rPr>
                <w:rFonts w:cstheme="minorHAnsi"/>
                <w:szCs w:val="24"/>
              </w:rPr>
            </w:pPr>
            <w:r>
              <w:rPr>
                <w:lang w:eastAsia="en-AU"/>
              </w:rPr>
              <w:fldChar w:fldCharType="begin">
                <w:ffData>
                  <w:name w:val="Check3"/>
                  <w:enabled/>
                  <w:calcOnExit w:val="0"/>
                  <w:checkBox>
                    <w:sizeAuto/>
                    <w:default w:val="0"/>
                  </w:checkBox>
                </w:ffData>
              </w:fldChar>
            </w:r>
            <w:bookmarkStart w:id="2" w:name="Check3"/>
            <w:r>
              <w:rPr>
                <w:lang w:eastAsia="en-AU"/>
              </w:rPr>
              <w:instrText xml:space="preserve"> FORMCHECKBOX </w:instrText>
            </w:r>
            <w:r w:rsidR="00063027">
              <w:rPr>
                <w:lang w:eastAsia="en-AU"/>
              </w:rPr>
            </w:r>
            <w:r w:rsidR="00063027">
              <w:rPr>
                <w:lang w:eastAsia="en-AU"/>
              </w:rPr>
              <w:fldChar w:fldCharType="separate"/>
            </w:r>
            <w:r>
              <w:rPr>
                <w:lang w:eastAsia="en-AU"/>
              </w:rPr>
              <w:fldChar w:fldCharType="end"/>
            </w:r>
            <w:bookmarkEnd w:id="2"/>
            <w:r>
              <w:rPr>
                <w:lang w:eastAsia="en-AU"/>
              </w:rPr>
              <w:t xml:space="preserve">  </w:t>
            </w:r>
            <w:r w:rsidR="00197142">
              <w:rPr>
                <w:lang w:eastAsia="en-AU"/>
              </w:rPr>
              <w:t xml:space="preserve">* </w:t>
            </w:r>
            <w:r>
              <w:t>In making this submission I acknowledge the submission will be published by the Resources Regulator, including my identity.</w:t>
            </w:r>
          </w:p>
        </w:tc>
      </w:tr>
      <w:tr w:rsidR="00335E69" w14:paraId="0F4E326E" w14:textId="77777777" w:rsidTr="00807AEF">
        <w:tc>
          <w:tcPr>
            <w:tcW w:w="5098" w:type="dxa"/>
          </w:tcPr>
          <w:p w14:paraId="21E1137C" w14:textId="0E457E9B" w:rsidR="00335E69" w:rsidRDefault="00335E69" w:rsidP="00807AEF">
            <w:pPr>
              <w:pStyle w:val="tablebody"/>
            </w:pPr>
            <w:r>
              <w:rPr>
                <w:rFonts w:cstheme="minorHAnsi"/>
                <w:szCs w:val="24"/>
              </w:rPr>
              <w:t xml:space="preserve">(If applicable) I provide the following reason/s to request my identity be </w:t>
            </w:r>
            <w:r w:rsidRPr="00335E69">
              <w:rPr>
                <w:rFonts w:cstheme="minorHAnsi"/>
                <w:b/>
                <w:bCs/>
                <w:szCs w:val="24"/>
              </w:rPr>
              <w:t>excluded</w:t>
            </w:r>
            <w:r>
              <w:rPr>
                <w:rFonts w:cstheme="minorHAnsi"/>
                <w:szCs w:val="24"/>
              </w:rPr>
              <w:t xml:space="preserve"> when the submission is published:</w:t>
            </w:r>
          </w:p>
        </w:tc>
        <w:tc>
          <w:tcPr>
            <w:tcW w:w="5096" w:type="dxa"/>
          </w:tcPr>
          <w:p w14:paraId="52B54613" w14:textId="77777777" w:rsidR="00335E69" w:rsidRDefault="00335E69" w:rsidP="00807AEF">
            <w:pPr>
              <w:pStyle w:val="tablebody"/>
              <w:rPr>
                <w:lang w:eastAsia="en-AU"/>
              </w:rPr>
            </w:pPr>
            <w:r>
              <w:rPr>
                <w:lang w:eastAsia="en-AU"/>
              </w:rPr>
              <w:fldChar w:fldCharType="begin">
                <w:ffData>
                  <w:name w:val="Text4"/>
                  <w:enabled/>
                  <w:calcOnExit w:val="0"/>
                  <w:textInput/>
                </w:ffData>
              </w:fldChar>
            </w:r>
            <w:bookmarkStart w:id="3" w:name="Text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3"/>
          </w:p>
        </w:tc>
      </w:tr>
    </w:tbl>
    <w:p w14:paraId="4F0486DB" w14:textId="77777777" w:rsidR="001F5E0D" w:rsidRDefault="001F5E0D" w:rsidP="00335E69">
      <w:pPr>
        <w:pStyle w:val="Heading2"/>
      </w:pPr>
    </w:p>
    <w:p w14:paraId="1EB88269" w14:textId="77777777" w:rsidR="001F5E0D" w:rsidRDefault="001F5E0D">
      <w:pPr>
        <w:spacing w:before="0" w:after="0" w:line="240" w:lineRule="auto"/>
        <w:rPr>
          <w:rFonts w:ascii="Arial" w:hAnsi="Arial"/>
          <w:b/>
          <w:bCs/>
          <w:sz w:val="40"/>
          <w:szCs w:val="40"/>
        </w:rPr>
      </w:pPr>
      <w:r>
        <w:br w:type="page"/>
      </w:r>
    </w:p>
    <w:p w14:paraId="68636624" w14:textId="7BB6611D" w:rsidR="00335E69" w:rsidRDefault="00AA39F7" w:rsidP="00335E69">
      <w:pPr>
        <w:pStyle w:val="Heading2"/>
      </w:pPr>
      <w:r>
        <w:lastRenderedPageBreak/>
        <w:t>Feedback</w:t>
      </w:r>
    </w:p>
    <w:tbl>
      <w:tblPr>
        <w:tblStyle w:val="TableGridLight"/>
        <w:tblW w:w="0" w:type="auto"/>
        <w:tblLook w:val="04A0" w:firstRow="1" w:lastRow="0" w:firstColumn="1" w:lastColumn="0" w:noHBand="0" w:noVBand="1"/>
      </w:tblPr>
      <w:tblGrid>
        <w:gridCol w:w="4531"/>
        <w:gridCol w:w="5663"/>
      </w:tblGrid>
      <w:tr w:rsidR="00335E69" w14:paraId="49B47362" w14:textId="77777777" w:rsidTr="00AA39F7">
        <w:tc>
          <w:tcPr>
            <w:tcW w:w="10194" w:type="dxa"/>
            <w:gridSpan w:val="2"/>
            <w:shd w:val="clear" w:color="auto" w:fill="0A7CB9"/>
          </w:tcPr>
          <w:p w14:paraId="1D5E677A" w14:textId="77777777" w:rsidR="00335E69" w:rsidRDefault="00335E69" w:rsidP="00807AEF">
            <w:pPr>
              <w:pStyle w:val="Tablecolumnheader"/>
            </w:pPr>
            <w:r>
              <w:t>Do you have any comments on the questions below?</w:t>
            </w:r>
          </w:p>
        </w:tc>
      </w:tr>
      <w:tr w:rsidR="00335E69" w14:paraId="2B3B3FA7" w14:textId="77777777" w:rsidTr="004E45E5">
        <w:tc>
          <w:tcPr>
            <w:tcW w:w="4531" w:type="dxa"/>
          </w:tcPr>
          <w:p w14:paraId="2ABB5C0E" w14:textId="4BA377DE" w:rsidR="00335E69" w:rsidRPr="000F7085" w:rsidRDefault="00F921C0" w:rsidP="00F921C0">
            <w:pPr>
              <w:pStyle w:val="ListParagraph"/>
              <w:numPr>
                <w:ilvl w:val="0"/>
                <w:numId w:val="9"/>
              </w:numPr>
              <w:rPr>
                <w:i/>
                <w:sz w:val="22"/>
              </w:rPr>
            </w:pPr>
            <w:r w:rsidRPr="000F7085">
              <w:rPr>
                <w:rFonts w:asciiTheme="minorHAnsi" w:eastAsiaTheme="minorHAnsi" w:hAnsiTheme="minorHAnsi" w:cstheme="minorBidi"/>
                <w:sz w:val="22"/>
              </w:rPr>
              <w:t>Should there be two types of investigations contained in the WHS (MPS) Act?</w:t>
            </w:r>
          </w:p>
        </w:tc>
        <w:tc>
          <w:tcPr>
            <w:tcW w:w="5663" w:type="dxa"/>
          </w:tcPr>
          <w:p w14:paraId="70C75CAD" w14:textId="2085F8A5" w:rsidR="00335E69" w:rsidRDefault="00AA39F7" w:rsidP="00335E69">
            <w:pPr>
              <w:pStyle w:val="tablebody"/>
            </w:pPr>
            <w:r>
              <w:fldChar w:fldCharType="begin">
                <w:ffData>
                  <w:name w:val="Text45"/>
                  <w:enabled/>
                  <w:calcOnExit w:val="0"/>
                  <w:textInput/>
                </w:ffData>
              </w:fldChar>
            </w:r>
            <w:bookmarkStart w:id="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35E69" w14:paraId="2F90EC1E" w14:textId="77777777" w:rsidTr="004E45E5">
        <w:tc>
          <w:tcPr>
            <w:tcW w:w="4531" w:type="dxa"/>
          </w:tcPr>
          <w:p w14:paraId="5DEC2BFB" w14:textId="77777777" w:rsidR="00F921C0" w:rsidRPr="000F7085" w:rsidRDefault="00F921C0" w:rsidP="00F921C0">
            <w:pPr>
              <w:pStyle w:val="ListParagraph"/>
              <w:numPr>
                <w:ilvl w:val="0"/>
                <w:numId w:val="9"/>
              </w:numPr>
              <w:spacing w:line="276" w:lineRule="auto"/>
              <w:rPr>
                <w:sz w:val="22"/>
              </w:rPr>
            </w:pPr>
            <w:r w:rsidRPr="000F7085">
              <w:rPr>
                <w:sz w:val="22"/>
              </w:rPr>
              <w:t>Should persons named in causal investigation reports provided to the Resources Regulator be protected from having that information used as evidence against them in the event that enforcement action is taken?</w:t>
            </w:r>
          </w:p>
          <w:p w14:paraId="1B05A53D" w14:textId="6C0A27D6" w:rsidR="00335E69" w:rsidRPr="000F7085" w:rsidRDefault="00335E69" w:rsidP="00335E69">
            <w:pPr>
              <w:pStyle w:val="tablebody"/>
              <w:rPr>
                <w:i/>
                <w:sz w:val="22"/>
                <w:szCs w:val="22"/>
              </w:rPr>
            </w:pPr>
          </w:p>
        </w:tc>
        <w:tc>
          <w:tcPr>
            <w:tcW w:w="5663" w:type="dxa"/>
          </w:tcPr>
          <w:p w14:paraId="42A0D825" w14:textId="7FB80534"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403FD628" w14:textId="77777777" w:rsidTr="004E45E5">
        <w:tc>
          <w:tcPr>
            <w:tcW w:w="4531" w:type="dxa"/>
          </w:tcPr>
          <w:p w14:paraId="6A787D2F" w14:textId="77777777" w:rsidR="00F921C0" w:rsidRPr="000F7085" w:rsidRDefault="00F921C0" w:rsidP="00F921C0">
            <w:pPr>
              <w:pStyle w:val="ListParagraph"/>
              <w:numPr>
                <w:ilvl w:val="0"/>
                <w:numId w:val="9"/>
              </w:numPr>
              <w:spacing w:line="276" w:lineRule="auto"/>
              <w:rPr>
                <w:sz w:val="22"/>
              </w:rPr>
            </w:pPr>
            <w:r w:rsidRPr="000F7085">
              <w:rPr>
                <w:sz w:val="22"/>
              </w:rPr>
              <w:t>Should the function of mine SHRs be expanded beyond the HSR functions under the WHS Act and previous mine safety legislation to enable them to participate in investigations? If so, are there any limitations that may be warranted on its exercise?</w:t>
            </w:r>
          </w:p>
          <w:p w14:paraId="65BF0B38" w14:textId="5C094E35" w:rsidR="00335E69" w:rsidRPr="000F7085" w:rsidRDefault="00335E69" w:rsidP="00335E69">
            <w:pPr>
              <w:pStyle w:val="tablebody"/>
              <w:rPr>
                <w:sz w:val="22"/>
                <w:szCs w:val="22"/>
              </w:rPr>
            </w:pPr>
          </w:p>
        </w:tc>
        <w:tc>
          <w:tcPr>
            <w:tcW w:w="5663" w:type="dxa"/>
          </w:tcPr>
          <w:p w14:paraId="6D1E58C1" w14:textId="51AC9187"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9C496CA" w14:textId="77777777" w:rsidTr="004E45E5">
        <w:tc>
          <w:tcPr>
            <w:tcW w:w="4531" w:type="dxa"/>
          </w:tcPr>
          <w:p w14:paraId="5ABB5BD3" w14:textId="77777777" w:rsidR="00F921C0" w:rsidRPr="000F7085" w:rsidRDefault="00F921C0" w:rsidP="00F921C0">
            <w:pPr>
              <w:pStyle w:val="ListParagraph"/>
              <w:numPr>
                <w:ilvl w:val="0"/>
                <w:numId w:val="9"/>
              </w:numPr>
              <w:rPr>
                <w:sz w:val="22"/>
              </w:rPr>
            </w:pPr>
            <w:r w:rsidRPr="000F7085">
              <w:rPr>
                <w:sz w:val="22"/>
              </w:rPr>
              <w:t>Do you have any concerns regarding the adoption of the amendments for appointment of industry SHRs by the Minister?</w:t>
            </w:r>
          </w:p>
          <w:p w14:paraId="6C0781B0" w14:textId="3848CDBB" w:rsidR="00335E69" w:rsidRPr="000F7085" w:rsidRDefault="00335E69" w:rsidP="00335E69">
            <w:pPr>
              <w:pStyle w:val="tablebody"/>
              <w:rPr>
                <w:sz w:val="22"/>
                <w:szCs w:val="22"/>
              </w:rPr>
            </w:pPr>
          </w:p>
        </w:tc>
        <w:tc>
          <w:tcPr>
            <w:tcW w:w="5663" w:type="dxa"/>
          </w:tcPr>
          <w:p w14:paraId="77072FE0" w14:textId="6457C8C6"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2D00D713" w14:textId="77777777" w:rsidTr="004E45E5">
        <w:tc>
          <w:tcPr>
            <w:tcW w:w="4531" w:type="dxa"/>
          </w:tcPr>
          <w:p w14:paraId="35D9AB4F" w14:textId="5EA5176E" w:rsidR="00335E69" w:rsidRPr="000F7085" w:rsidRDefault="00F921C0" w:rsidP="00F921C0">
            <w:pPr>
              <w:pStyle w:val="tablebody"/>
              <w:numPr>
                <w:ilvl w:val="0"/>
                <w:numId w:val="9"/>
              </w:numPr>
              <w:rPr>
                <w:sz w:val="22"/>
                <w:szCs w:val="22"/>
              </w:rPr>
            </w:pPr>
            <w:r w:rsidRPr="000F7085">
              <w:rPr>
                <w:rFonts w:cs="Calibri"/>
                <w:color w:val="000000"/>
                <w:sz w:val="22"/>
                <w:szCs w:val="22"/>
                <w:lang w:eastAsia="en-AU"/>
              </w:rPr>
              <w:t>Do you agree with extending industry SHRs to mines other than coal mines?</w:t>
            </w:r>
            <w:r w:rsidRPr="000F7085">
              <w:rPr>
                <w:rFonts w:cs="Calibri"/>
                <w:color w:val="000000"/>
                <w:sz w:val="22"/>
                <w:szCs w:val="22"/>
                <w:lang w:eastAsia="en-AU"/>
              </w:rPr>
              <w:br/>
            </w:r>
          </w:p>
        </w:tc>
        <w:tc>
          <w:tcPr>
            <w:tcW w:w="5663" w:type="dxa"/>
          </w:tcPr>
          <w:p w14:paraId="7A8DCD10" w14:textId="16BE40E1"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7665EB13" w14:textId="77777777" w:rsidTr="004E45E5">
        <w:tc>
          <w:tcPr>
            <w:tcW w:w="4531" w:type="dxa"/>
          </w:tcPr>
          <w:p w14:paraId="47E4E687" w14:textId="7C2E3B26" w:rsidR="00F921C0" w:rsidRPr="000F7085" w:rsidRDefault="00F921C0" w:rsidP="00F921C0">
            <w:pPr>
              <w:pStyle w:val="ListParagraph"/>
              <w:numPr>
                <w:ilvl w:val="0"/>
                <w:numId w:val="9"/>
              </w:numPr>
              <w:rPr>
                <w:sz w:val="22"/>
              </w:rPr>
            </w:pPr>
            <w:r w:rsidRPr="000F7085">
              <w:rPr>
                <w:sz w:val="22"/>
              </w:rPr>
              <w:t>Should the WHS (MPS) Act be amended to include provisions equivalent to sections 146 and 148 of the WHS Act?</w:t>
            </w:r>
          </w:p>
          <w:p w14:paraId="1447BBE9" w14:textId="5D6C47FA" w:rsidR="00335E69" w:rsidRPr="000F7085" w:rsidRDefault="00335E69" w:rsidP="00335E69">
            <w:pPr>
              <w:pStyle w:val="tablebody"/>
              <w:rPr>
                <w:sz w:val="22"/>
                <w:szCs w:val="22"/>
              </w:rPr>
            </w:pPr>
          </w:p>
        </w:tc>
        <w:tc>
          <w:tcPr>
            <w:tcW w:w="5663" w:type="dxa"/>
          </w:tcPr>
          <w:p w14:paraId="1F00A27A" w14:textId="1BCBAF43"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795A8BF" w14:textId="77777777" w:rsidTr="004E45E5">
        <w:tc>
          <w:tcPr>
            <w:tcW w:w="4531" w:type="dxa"/>
          </w:tcPr>
          <w:p w14:paraId="5F780BF4" w14:textId="77777777" w:rsidR="00F921C0" w:rsidRPr="000F7085" w:rsidRDefault="00F921C0" w:rsidP="00F921C0">
            <w:pPr>
              <w:pStyle w:val="ListParagraph"/>
              <w:numPr>
                <w:ilvl w:val="0"/>
                <w:numId w:val="9"/>
              </w:numPr>
              <w:rPr>
                <w:sz w:val="22"/>
              </w:rPr>
            </w:pPr>
            <w:r w:rsidRPr="000F7085">
              <w:rPr>
                <w:rFonts w:asciiTheme="minorHAnsi" w:eastAsiaTheme="minorHAnsi" w:hAnsiTheme="minorHAnsi" w:cstheme="minorBidi"/>
                <w:sz w:val="22"/>
              </w:rPr>
              <w:t xml:space="preserve">Should </w:t>
            </w:r>
            <w:r w:rsidRPr="000F7085">
              <w:rPr>
                <w:sz w:val="22"/>
              </w:rPr>
              <w:t xml:space="preserve">the WHS (MPS) Act be amended to amend the purpose statement for </w:t>
            </w:r>
            <w:r w:rsidRPr="000F7085">
              <w:rPr>
                <w:sz w:val="22"/>
              </w:rPr>
              <w:lastRenderedPageBreak/>
              <w:t>Boards of Inquiry to include ‘contributing factors’, and to explicitly allow for high potential emerging and systemic issues and the making of potential findings and recommendations to reduce the likelihood of future accidents and incidents?</w:t>
            </w:r>
          </w:p>
          <w:p w14:paraId="378EFAD9" w14:textId="410E51FE" w:rsidR="00335E69" w:rsidRPr="000F7085" w:rsidRDefault="00335E69" w:rsidP="00335E69">
            <w:pPr>
              <w:pStyle w:val="tablebody"/>
              <w:rPr>
                <w:sz w:val="22"/>
                <w:szCs w:val="22"/>
              </w:rPr>
            </w:pPr>
          </w:p>
        </w:tc>
        <w:tc>
          <w:tcPr>
            <w:tcW w:w="5663" w:type="dxa"/>
          </w:tcPr>
          <w:p w14:paraId="033A1DCB" w14:textId="34E061C3" w:rsidR="00335E69" w:rsidRDefault="00AA39F7" w:rsidP="00335E69">
            <w:pPr>
              <w:pStyle w:val="tablebody"/>
            </w:pPr>
            <w:r>
              <w:lastRenderedPageBreak/>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0A7A315D" w14:textId="77777777" w:rsidTr="004E45E5">
        <w:tc>
          <w:tcPr>
            <w:tcW w:w="4531" w:type="dxa"/>
          </w:tcPr>
          <w:p w14:paraId="75C42FFF" w14:textId="2EDA845E" w:rsidR="00F921C0" w:rsidRPr="000F7085" w:rsidRDefault="00F921C0" w:rsidP="00F921C0">
            <w:pPr>
              <w:pStyle w:val="ListParagraph"/>
              <w:numPr>
                <w:ilvl w:val="0"/>
                <w:numId w:val="9"/>
              </w:numPr>
              <w:rPr>
                <w:sz w:val="22"/>
              </w:rPr>
            </w:pPr>
            <w:r w:rsidRPr="000F7085">
              <w:rPr>
                <w:rFonts w:cs="Calibri"/>
                <w:color w:val="000000"/>
                <w:sz w:val="22"/>
                <w:lang w:eastAsia="en-AU"/>
              </w:rPr>
              <w:t xml:space="preserve">Should the WHS (MPS) Regulation be amended to clarify that the </w:t>
            </w:r>
            <w:r w:rsidR="001575E4">
              <w:rPr>
                <w:rFonts w:cs="Calibri"/>
                <w:color w:val="000000"/>
                <w:sz w:val="22"/>
                <w:lang w:eastAsia="en-AU"/>
              </w:rPr>
              <w:t xml:space="preserve">MPCB can </w:t>
            </w:r>
            <w:r w:rsidRPr="000F7085">
              <w:rPr>
                <w:rFonts w:cs="Calibri"/>
                <w:color w:val="000000"/>
                <w:sz w:val="22"/>
                <w:lang w:eastAsia="en-AU"/>
              </w:rPr>
              <w:t>appoint a person as an assessor?</w:t>
            </w:r>
          </w:p>
          <w:p w14:paraId="2B75B281" w14:textId="77777777" w:rsidR="001064AD" w:rsidRPr="000F7085" w:rsidRDefault="001064AD" w:rsidP="00335E69">
            <w:pPr>
              <w:pStyle w:val="tablebody"/>
              <w:rPr>
                <w:sz w:val="22"/>
                <w:szCs w:val="22"/>
              </w:rPr>
            </w:pPr>
          </w:p>
        </w:tc>
        <w:tc>
          <w:tcPr>
            <w:tcW w:w="5663" w:type="dxa"/>
          </w:tcPr>
          <w:p w14:paraId="5D4DBDE0" w14:textId="46C6A8AF"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AA5778D" w14:textId="77777777" w:rsidTr="004E45E5">
        <w:tc>
          <w:tcPr>
            <w:tcW w:w="4531" w:type="dxa"/>
          </w:tcPr>
          <w:p w14:paraId="66D13884" w14:textId="77777777" w:rsidR="00F921C0" w:rsidRPr="000F7085" w:rsidRDefault="00F921C0" w:rsidP="00F921C0">
            <w:pPr>
              <w:pStyle w:val="ListParagraph"/>
              <w:numPr>
                <w:ilvl w:val="0"/>
                <w:numId w:val="9"/>
              </w:numPr>
              <w:rPr>
                <w:sz w:val="22"/>
              </w:rPr>
            </w:pPr>
            <w:r w:rsidRPr="000F7085">
              <w:rPr>
                <w:sz w:val="22"/>
              </w:rPr>
              <w:t>Is clarification required in relation to rock and coal bursts and related pressure bursts being a principal mining hazard?</w:t>
            </w:r>
          </w:p>
          <w:p w14:paraId="0CC48159" w14:textId="77777777" w:rsidR="001064AD" w:rsidRPr="000F7085" w:rsidRDefault="001064AD" w:rsidP="00335E69">
            <w:pPr>
              <w:pStyle w:val="tablebody"/>
              <w:rPr>
                <w:sz w:val="22"/>
                <w:szCs w:val="22"/>
              </w:rPr>
            </w:pPr>
          </w:p>
        </w:tc>
        <w:tc>
          <w:tcPr>
            <w:tcW w:w="5663" w:type="dxa"/>
          </w:tcPr>
          <w:p w14:paraId="69A2EE86" w14:textId="4E4216B1"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3D46ADB3" w14:textId="77777777" w:rsidTr="004E45E5">
        <w:tc>
          <w:tcPr>
            <w:tcW w:w="4531" w:type="dxa"/>
          </w:tcPr>
          <w:p w14:paraId="32F29BF6" w14:textId="77777777" w:rsidR="00F921C0" w:rsidRPr="000F7085" w:rsidRDefault="00F921C0" w:rsidP="00F921C0">
            <w:pPr>
              <w:pStyle w:val="ListParagraph"/>
              <w:numPr>
                <w:ilvl w:val="0"/>
                <w:numId w:val="9"/>
              </w:numPr>
              <w:rPr>
                <w:sz w:val="22"/>
              </w:rPr>
            </w:pPr>
            <w:r w:rsidRPr="000F7085">
              <w:rPr>
                <w:sz w:val="22"/>
              </w:rPr>
              <w:t>Are there any elements of the Global Industry Standards on Tailings Management that should be prescribed in the WHS (MPS) Regulation?</w:t>
            </w:r>
          </w:p>
          <w:p w14:paraId="28E83324" w14:textId="77777777" w:rsidR="001064AD" w:rsidRPr="000F7085" w:rsidRDefault="001064AD" w:rsidP="00335E69">
            <w:pPr>
              <w:pStyle w:val="tablebody"/>
              <w:rPr>
                <w:sz w:val="22"/>
                <w:szCs w:val="22"/>
              </w:rPr>
            </w:pPr>
          </w:p>
        </w:tc>
        <w:tc>
          <w:tcPr>
            <w:tcW w:w="5663" w:type="dxa"/>
          </w:tcPr>
          <w:p w14:paraId="6EFEBA87" w14:textId="586D6B53"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67E2643F" w14:textId="77777777" w:rsidTr="004E45E5">
        <w:tc>
          <w:tcPr>
            <w:tcW w:w="4531" w:type="dxa"/>
          </w:tcPr>
          <w:p w14:paraId="5B829227" w14:textId="0E204A5C" w:rsidR="001064AD" w:rsidRPr="000F7085" w:rsidRDefault="00F921C0" w:rsidP="00F921C0">
            <w:pPr>
              <w:pStyle w:val="tablebody"/>
              <w:numPr>
                <w:ilvl w:val="0"/>
                <w:numId w:val="9"/>
              </w:numPr>
              <w:rPr>
                <w:sz w:val="22"/>
                <w:szCs w:val="22"/>
              </w:rPr>
            </w:pPr>
            <w:r w:rsidRPr="000F7085">
              <w:rPr>
                <w:sz w:val="22"/>
                <w:szCs w:val="22"/>
              </w:rPr>
              <w:t>Should Schedule 6 of the WHS (MPS) Regulation be amended to include sampling over 80% of a shift, require all respirable dust samples tested for silica, and include more detail on sampling of the drill and blast area, as well as areas involving mobile equipment and maintenance, coal handling preparation and mobile crushing plant?</w:t>
            </w:r>
          </w:p>
        </w:tc>
        <w:tc>
          <w:tcPr>
            <w:tcW w:w="5663" w:type="dxa"/>
          </w:tcPr>
          <w:p w14:paraId="3B2DD21D" w14:textId="0DFF5612"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BE7C843" w14:textId="77777777" w:rsidTr="004E45E5">
        <w:tc>
          <w:tcPr>
            <w:tcW w:w="4531" w:type="dxa"/>
          </w:tcPr>
          <w:p w14:paraId="2ED92228" w14:textId="77777777" w:rsidR="00F921C0" w:rsidRPr="000F7085" w:rsidRDefault="00F921C0" w:rsidP="00F921C0">
            <w:pPr>
              <w:pStyle w:val="ListParagraph"/>
              <w:numPr>
                <w:ilvl w:val="0"/>
                <w:numId w:val="9"/>
              </w:numPr>
              <w:rPr>
                <w:sz w:val="22"/>
              </w:rPr>
            </w:pPr>
            <w:r w:rsidRPr="000F7085">
              <w:rPr>
                <w:rFonts w:asciiTheme="minorHAnsi" w:eastAsia="Times New Roman" w:hAnsiTheme="minorHAnsi" w:cs="Calibri"/>
                <w:sz w:val="22"/>
                <w:lang w:eastAsia="en-AU"/>
              </w:rPr>
              <w:t xml:space="preserve">Should </w:t>
            </w:r>
            <w:r w:rsidRPr="000F7085">
              <w:rPr>
                <w:rFonts w:asciiTheme="minorHAnsi" w:eastAsiaTheme="minorHAnsi" w:hAnsiTheme="minorHAnsi" w:cstheme="minorBidi"/>
                <w:sz w:val="22"/>
              </w:rPr>
              <w:t>the WHS (MPS) Regulation be amended to require sampling and analysis of respirable quartz at non-coal mines, similar to the requirements in clause 86 and Schedule 6?</w:t>
            </w:r>
          </w:p>
          <w:p w14:paraId="732CAA30" w14:textId="77777777" w:rsidR="001064AD" w:rsidRPr="000F7085" w:rsidRDefault="001064AD" w:rsidP="00335E69">
            <w:pPr>
              <w:pStyle w:val="tablebody"/>
              <w:rPr>
                <w:sz w:val="22"/>
                <w:szCs w:val="22"/>
              </w:rPr>
            </w:pPr>
          </w:p>
        </w:tc>
        <w:tc>
          <w:tcPr>
            <w:tcW w:w="5663" w:type="dxa"/>
          </w:tcPr>
          <w:p w14:paraId="1389E375" w14:textId="6542E525"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711CC2A" w14:textId="77777777" w:rsidTr="004E45E5">
        <w:tc>
          <w:tcPr>
            <w:tcW w:w="4531" w:type="dxa"/>
          </w:tcPr>
          <w:p w14:paraId="0FD9280A" w14:textId="77777777" w:rsidR="004E45E5" w:rsidRPr="000F7085" w:rsidRDefault="004E45E5" w:rsidP="004E45E5">
            <w:pPr>
              <w:pStyle w:val="ListParagraph"/>
              <w:numPr>
                <w:ilvl w:val="0"/>
                <w:numId w:val="9"/>
              </w:numPr>
              <w:rPr>
                <w:sz w:val="22"/>
              </w:rPr>
            </w:pPr>
            <w:r w:rsidRPr="000F7085">
              <w:rPr>
                <w:rFonts w:cs="Calibri"/>
                <w:color w:val="000000"/>
                <w:sz w:val="22"/>
                <w:lang w:eastAsia="en-AU"/>
              </w:rPr>
              <w:lastRenderedPageBreak/>
              <w:t>Should the WHS (MPS) Regulation be amended to provide certain exemptions for small quarries?</w:t>
            </w:r>
          </w:p>
          <w:p w14:paraId="75FA7420" w14:textId="77777777" w:rsidR="001064AD" w:rsidRPr="000F7085" w:rsidRDefault="001064AD" w:rsidP="00335E69">
            <w:pPr>
              <w:pStyle w:val="tablebody"/>
              <w:rPr>
                <w:sz w:val="22"/>
                <w:szCs w:val="22"/>
              </w:rPr>
            </w:pPr>
          </w:p>
        </w:tc>
        <w:tc>
          <w:tcPr>
            <w:tcW w:w="5663" w:type="dxa"/>
          </w:tcPr>
          <w:p w14:paraId="2445DBE6" w14:textId="4D1F8810"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4597EEE7" w14:textId="77777777" w:rsidTr="004E45E5">
        <w:tc>
          <w:tcPr>
            <w:tcW w:w="4531" w:type="dxa"/>
          </w:tcPr>
          <w:p w14:paraId="6872812E" w14:textId="77777777" w:rsidR="004E45E5" w:rsidRPr="000F7085" w:rsidRDefault="004E45E5" w:rsidP="004E45E5">
            <w:pPr>
              <w:pStyle w:val="ListParagraph"/>
              <w:numPr>
                <w:ilvl w:val="0"/>
                <w:numId w:val="9"/>
              </w:numPr>
              <w:spacing w:line="276" w:lineRule="auto"/>
              <w:rPr>
                <w:sz w:val="22"/>
              </w:rPr>
            </w:pPr>
            <w:r w:rsidRPr="000F7085">
              <w:rPr>
                <w:sz w:val="22"/>
              </w:rPr>
              <w:t>Th</w:t>
            </w:r>
            <w:r w:rsidRPr="00984A50">
              <w:rPr>
                <w:bCs/>
                <w:sz w:val="22"/>
              </w:rPr>
              <w:t>e</w:t>
            </w:r>
            <w:r w:rsidRPr="00984A50">
              <w:rPr>
                <w:sz w:val="22"/>
              </w:rPr>
              <w:t xml:space="preserve"> </w:t>
            </w:r>
            <w:r w:rsidRPr="000F7085">
              <w:rPr>
                <w:sz w:val="22"/>
              </w:rPr>
              <w:t>Resources Regulator is currently addressing this issue of clarification of safety devices like oxygen candles in refuge chambers through guidance. Should the Resources Regulator’s position be made explicit in the WHS (MPS) Regulation?</w:t>
            </w:r>
          </w:p>
          <w:p w14:paraId="70D23747" w14:textId="77777777" w:rsidR="001064AD" w:rsidRPr="000F7085" w:rsidRDefault="001064AD" w:rsidP="00335E69">
            <w:pPr>
              <w:pStyle w:val="tablebody"/>
              <w:rPr>
                <w:sz w:val="22"/>
                <w:szCs w:val="22"/>
              </w:rPr>
            </w:pPr>
          </w:p>
        </w:tc>
        <w:tc>
          <w:tcPr>
            <w:tcW w:w="5663" w:type="dxa"/>
          </w:tcPr>
          <w:p w14:paraId="4B9F9EB2" w14:textId="0C9A5BC6"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3E8C5F4F" w14:textId="77777777" w:rsidTr="004E45E5">
        <w:tc>
          <w:tcPr>
            <w:tcW w:w="4531" w:type="dxa"/>
          </w:tcPr>
          <w:p w14:paraId="103A4965" w14:textId="77777777" w:rsidR="004E45E5" w:rsidRPr="000F7085" w:rsidRDefault="004E45E5" w:rsidP="004E45E5">
            <w:pPr>
              <w:pStyle w:val="ListParagraph"/>
              <w:numPr>
                <w:ilvl w:val="0"/>
                <w:numId w:val="9"/>
              </w:numPr>
              <w:spacing w:line="276" w:lineRule="auto"/>
              <w:rPr>
                <w:sz w:val="22"/>
              </w:rPr>
            </w:pPr>
            <w:r w:rsidRPr="000F7085">
              <w:rPr>
                <w:sz w:val="22"/>
              </w:rPr>
              <w:t>Should the WHS (MPS) Regulation be amended to include a ‘note’ under clauses 5(2) and 5(3) of Schedule 4 to refer the reader to the defined terms of ‘underground coal mine’ and ‘underground mine’ in clause 3 of the WHS (MPS) Regulation?</w:t>
            </w:r>
          </w:p>
          <w:p w14:paraId="12DEF6C7" w14:textId="77777777" w:rsidR="001064AD" w:rsidRPr="000F7085" w:rsidRDefault="001064AD" w:rsidP="00335E69">
            <w:pPr>
              <w:pStyle w:val="tablebody"/>
              <w:rPr>
                <w:sz w:val="22"/>
                <w:szCs w:val="22"/>
              </w:rPr>
            </w:pPr>
          </w:p>
        </w:tc>
        <w:tc>
          <w:tcPr>
            <w:tcW w:w="5663" w:type="dxa"/>
          </w:tcPr>
          <w:p w14:paraId="0EADD9E2" w14:textId="2BB94949"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7B2078D2" w14:textId="77777777" w:rsidTr="004E45E5">
        <w:tc>
          <w:tcPr>
            <w:tcW w:w="4531" w:type="dxa"/>
          </w:tcPr>
          <w:p w14:paraId="48E0B3B3" w14:textId="77777777" w:rsidR="004E45E5" w:rsidRPr="000F7085" w:rsidRDefault="004E45E5" w:rsidP="004E45E5">
            <w:pPr>
              <w:pStyle w:val="ListParagraph"/>
              <w:numPr>
                <w:ilvl w:val="0"/>
                <w:numId w:val="9"/>
              </w:numPr>
              <w:spacing w:line="276" w:lineRule="auto"/>
              <w:rPr>
                <w:sz w:val="22"/>
              </w:rPr>
            </w:pPr>
            <w:r w:rsidRPr="000F7085">
              <w:rPr>
                <w:sz w:val="22"/>
              </w:rPr>
              <w:t>Should emergency sealing in clause 68 of the WHS (MPS) Regulation make provision for re-entry and, if so, include an airlock?</w:t>
            </w:r>
          </w:p>
          <w:p w14:paraId="2A3139FC" w14:textId="77777777" w:rsidR="001064AD" w:rsidRPr="000F7085" w:rsidRDefault="001064AD" w:rsidP="00335E69">
            <w:pPr>
              <w:pStyle w:val="tablebody"/>
              <w:rPr>
                <w:sz w:val="22"/>
                <w:szCs w:val="22"/>
              </w:rPr>
            </w:pPr>
          </w:p>
        </w:tc>
        <w:tc>
          <w:tcPr>
            <w:tcW w:w="5663" w:type="dxa"/>
          </w:tcPr>
          <w:p w14:paraId="3D8A3BAF" w14:textId="7E3D3907"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72EE3D74" w14:textId="77777777" w:rsidTr="004E45E5">
        <w:tc>
          <w:tcPr>
            <w:tcW w:w="4531" w:type="dxa"/>
          </w:tcPr>
          <w:p w14:paraId="646E0C64" w14:textId="77777777" w:rsidR="004E45E5" w:rsidRPr="000F7085" w:rsidRDefault="004E45E5" w:rsidP="004E45E5">
            <w:pPr>
              <w:pStyle w:val="ListParagraph"/>
              <w:numPr>
                <w:ilvl w:val="0"/>
                <w:numId w:val="9"/>
              </w:numPr>
              <w:spacing w:line="276" w:lineRule="auto"/>
              <w:rPr>
                <w:sz w:val="22"/>
              </w:rPr>
            </w:pPr>
            <w:r w:rsidRPr="000F7085">
              <w:rPr>
                <w:sz w:val="22"/>
              </w:rPr>
              <w:t xml:space="preserve">Should the emergency plan include more detail in relation to testing of, and training in, the emergency plan and mine rescue? What additional detail should be included? </w:t>
            </w:r>
          </w:p>
          <w:p w14:paraId="27C7FEBC" w14:textId="77777777" w:rsidR="001064AD" w:rsidRPr="000F7085" w:rsidRDefault="001064AD" w:rsidP="004E45E5">
            <w:pPr>
              <w:spacing w:line="276" w:lineRule="auto"/>
              <w:rPr>
                <w:sz w:val="22"/>
              </w:rPr>
            </w:pPr>
          </w:p>
        </w:tc>
        <w:tc>
          <w:tcPr>
            <w:tcW w:w="5663" w:type="dxa"/>
          </w:tcPr>
          <w:p w14:paraId="3E84423F" w14:textId="0DC1B4A3"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57EC5F6F" w14:textId="77777777" w:rsidTr="004E45E5">
        <w:tc>
          <w:tcPr>
            <w:tcW w:w="4531" w:type="dxa"/>
          </w:tcPr>
          <w:p w14:paraId="2B6CC942" w14:textId="77777777" w:rsidR="004E45E5" w:rsidRPr="000F7085" w:rsidRDefault="004E45E5" w:rsidP="004E45E5">
            <w:pPr>
              <w:pStyle w:val="ListParagraph"/>
              <w:numPr>
                <w:ilvl w:val="0"/>
                <w:numId w:val="9"/>
              </w:numPr>
              <w:spacing w:line="276" w:lineRule="auto"/>
              <w:rPr>
                <w:sz w:val="22"/>
              </w:rPr>
            </w:pPr>
            <w:r w:rsidRPr="000F7085">
              <w:rPr>
                <w:sz w:val="22"/>
                <w:lang w:eastAsia="en-AU"/>
              </w:rPr>
              <w:t xml:space="preserve">Should the WHS (MPS) Regulation be amended to include a requirement for mine operators to display aspects of the escape and rescue plan, including exits, </w:t>
            </w:r>
            <w:r w:rsidRPr="000F7085">
              <w:rPr>
                <w:sz w:val="22"/>
                <w:lang w:eastAsia="en-AU"/>
              </w:rPr>
              <w:lastRenderedPageBreak/>
              <w:t>refuges, firefighting equipment, communications and oxygen stations and to ensure m</w:t>
            </w:r>
            <w:r w:rsidRPr="000F7085">
              <w:rPr>
                <w:rFonts w:cs="Calibri"/>
                <w:sz w:val="22"/>
                <w:lang w:eastAsia="en-AU"/>
              </w:rPr>
              <w:t>ine workers have a reasonable opportunity to utilise the exits during periodic training</w:t>
            </w:r>
            <w:r w:rsidRPr="000F7085">
              <w:rPr>
                <w:sz w:val="22"/>
                <w:lang w:eastAsia="en-AU"/>
              </w:rPr>
              <w:t>?</w:t>
            </w:r>
          </w:p>
          <w:p w14:paraId="38B891CA" w14:textId="77777777" w:rsidR="001064AD" w:rsidRPr="000F7085" w:rsidRDefault="001064AD" w:rsidP="00335E69">
            <w:pPr>
              <w:pStyle w:val="tablebody"/>
              <w:rPr>
                <w:sz w:val="22"/>
                <w:szCs w:val="22"/>
              </w:rPr>
            </w:pPr>
          </w:p>
        </w:tc>
        <w:tc>
          <w:tcPr>
            <w:tcW w:w="5663" w:type="dxa"/>
          </w:tcPr>
          <w:p w14:paraId="1BBDB599" w14:textId="5D9568D8" w:rsidR="001064AD" w:rsidRDefault="001064AD" w:rsidP="00335E69">
            <w:pPr>
              <w:pStyle w:val="tablebody"/>
            </w:pPr>
            <w:r>
              <w:lastRenderedPageBreak/>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4D54E6CC" w14:textId="77777777" w:rsidTr="004E45E5">
        <w:tc>
          <w:tcPr>
            <w:tcW w:w="4531" w:type="dxa"/>
          </w:tcPr>
          <w:p w14:paraId="1A7810CD" w14:textId="77777777" w:rsidR="004E45E5" w:rsidRPr="000F7085" w:rsidRDefault="004E45E5" w:rsidP="004E45E5">
            <w:pPr>
              <w:pStyle w:val="ListParagraph"/>
              <w:numPr>
                <w:ilvl w:val="0"/>
                <w:numId w:val="9"/>
              </w:numPr>
              <w:rPr>
                <w:sz w:val="22"/>
              </w:rPr>
            </w:pPr>
            <w:r w:rsidRPr="000F7085">
              <w:rPr>
                <w:bCs/>
                <w:sz w:val="22"/>
                <w:lang w:eastAsia="en-AU"/>
              </w:rPr>
              <w:t>Should the WHS (MPS) Regulation be amended so that an automatic update provision (similar to that under clause 78) is applied to all references to standards in the Regulation?</w:t>
            </w:r>
          </w:p>
          <w:p w14:paraId="22160FA6" w14:textId="77777777" w:rsidR="001064AD" w:rsidRPr="000F7085" w:rsidRDefault="001064AD" w:rsidP="00335E69">
            <w:pPr>
              <w:pStyle w:val="tablebody"/>
              <w:rPr>
                <w:sz w:val="22"/>
                <w:szCs w:val="22"/>
              </w:rPr>
            </w:pPr>
          </w:p>
        </w:tc>
        <w:tc>
          <w:tcPr>
            <w:tcW w:w="5663" w:type="dxa"/>
          </w:tcPr>
          <w:p w14:paraId="4363237A" w14:textId="2A35C8DF"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6389864D" w14:textId="77777777" w:rsidTr="004E45E5">
        <w:tc>
          <w:tcPr>
            <w:tcW w:w="4531" w:type="dxa"/>
          </w:tcPr>
          <w:p w14:paraId="1F4B8029" w14:textId="77777777" w:rsidR="004E45E5" w:rsidRPr="000F7085" w:rsidRDefault="004E45E5" w:rsidP="004E45E5">
            <w:pPr>
              <w:pStyle w:val="ListParagraph"/>
              <w:numPr>
                <w:ilvl w:val="0"/>
                <w:numId w:val="9"/>
              </w:numPr>
              <w:rPr>
                <w:sz w:val="22"/>
                <w:lang w:eastAsia="en-AU"/>
              </w:rPr>
            </w:pPr>
            <w:r w:rsidRPr="000F7085">
              <w:rPr>
                <w:sz w:val="22"/>
                <w:lang w:eastAsia="en-AU"/>
              </w:rPr>
              <w:t>Is it appropriate to continue to refer to standards or should the relevant parts be prescribed within the WHS (MPS) Regulation?</w:t>
            </w:r>
          </w:p>
          <w:p w14:paraId="4D26F407" w14:textId="77777777" w:rsidR="001064AD" w:rsidRPr="000F7085" w:rsidRDefault="001064AD" w:rsidP="00335E69">
            <w:pPr>
              <w:pStyle w:val="tablebody"/>
              <w:rPr>
                <w:sz w:val="22"/>
                <w:szCs w:val="22"/>
              </w:rPr>
            </w:pPr>
          </w:p>
        </w:tc>
        <w:tc>
          <w:tcPr>
            <w:tcW w:w="5663" w:type="dxa"/>
          </w:tcPr>
          <w:p w14:paraId="6A6C9B2A" w14:textId="16F78FBE"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89B295D" w14:textId="77777777" w:rsidTr="004E45E5">
        <w:tc>
          <w:tcPr>
            <w:tcW w:w="4531" w:type="dxa"/>
          </w:tcPr>
          <w:p w14:paraId="0E90C909" w14:textId="77777777" w:rsidR="004E45E5" w:rsidRPr="000F7085" w:rsidRDefault="004E45E5" w:rsidP="004E45E5">
            <w:pPr>
              <w:pStyle w:val="ListParagraph"/>
              <w:numPr>
                <w:ilvl w:val="0"/>
                <w:numId w:val="9"/>
              </w:numPr>
              <w:rPr>
                <w:sz w:val="22"/>
                <w:lang w:eastAsia="en-AU"/>
              </w:rPr>
            </w:pPr>
            <w:r w:rsidRPr="000F7085">
              <w:rPr>
                <w:bCs/>
                <w:sz w:val="22"/>
                <w:lang w:eastAsia="en-AU"/>
              </w:rPr>
              <w:t xml:space="preserve">Should the WHS (MPS) Regulation be amended to enable </w:t>
            </w:r>
            <w:r w:rsidRPr="000F7085">
              <w:rPr>
                <w:sz w:val="22"/>
                <w:lang w:eastAsia="en-AU"/>
              </w:rPr>
              <w:t xml:space="preserve">a professional engineering demonstration of an alternate means of compliance that entails a level of risk equivalent to, or better than, complying with a prescribed standard? </w:t>
            </w:r>
          </w:p>
          <w:p w14:paraId="2DF23554" w14:textId="77777777" w:rsidR="001064AD" w:rsidRPr="000F7085" w:rsidRDefault="001064AD" w:rsidP="00335E69">
            <w:pPr>
              <w:pStyle w:val="tablebody"/>
              <w:rPr>
                <w:sz w:val="22"/>
                <w:szCs w:val="22"/>
              </w:rPr>
            </w:pPr>
          </w:p>
        </w:tc>
        <w:tc>
          <w:tcPr>
            <w:tcW w:w="5663" w:type="dxa"/>
          </w:tcPr>
          <w:p w14:paraId="3FF4ACEF" w14:textId="3252371A"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4431439" w14:textId="77777777" w:rsidTr="004E45E5">
        <w:tc>
          <w:tcPr>
            <w:tcW w:w="4531" w:type="dxa"/>
          </w:tcPr>
          <w:p w14:paraId="0C909BBF" w14:textId="77D8FFA2" w:rsidR="004E45E5" w:rsidRPr="000F7085" w:rsidRDefault="004E45E5" w:rsidP="004E45E5">
            <w:pPr>
              <w:pStyle w:val="ListParagraph"/>
              <w:numPr>
                <w:ilvl w:val="0"/>
                <w:numId w:val="9"/>
              </w:numPr>
              <w:spacing w:line="276" w:lineRule="auto"/>
              <w:rPr>
                <w:sz w:val="22"/>
              </w:rPr>
            </w:pPr>
            <w:r w:rsidRPr="000F7085">
              <w:rPr>
                <w:sz w:val="22"/>
                <w:lang w:eastAsia="en-AU"/>
              </w:rPr>
              <w:t xml:space="preserve">Is the Resources Regulator’s </w:t>
            </w:r>
            <w:r w:rsidRPr="000F7085">
              <w:rPr>
                <w:i/>
                <w:iCs/>
                <w:sz w:val="22"/>
                <w:lang w:eastAsia="en-AU"/>
              </w:rPr>
              <w:t>Innovation policy</w:t>
            </w:r>
            <w:r w:rsidRPr="000F7085">
              <w:rPr>
                <w:sz w:val="22"/>
                <w:lang w:eastAsia="en-AU"/>
              </w:rPr>
              <w:t xml:space="preserve"> sufficient for enabling consideration of innovations prevented by legislation or technical standards?</w:t>
            </w:r>
          </w:p>
          <w:p w14:paraId="638E94C6" w14:textId="77777777" w:rsidR="001064AD" w:rsidRPr="000F7085" w:rsidRDefault="001064AD" w:rsidP="00335E69">
            <w:pPr>
              <w:pStyle w:val="tablebody"/>
              <w:rPr>
                <w:sz w:val="22"/>
                <w:szCs w:val="22"/>
              </w:rPr>
            </w:pPr>
          </w:p>
        </w:tc>
        <w:tc>
          <w:tcPr>
            <w:tcW w:w="5663" w:type="dxa"/>
          </w:tcPr>
          <w:p w14:paraId="6FEE4E69" w14:textId="1718BA70"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0FA0F469" w14:textId="77777777" w:rsidTr="004E45E5">
        <w:tc>
          <w:tcPr>
            <w:tcW w:w="4531" w:type="dxa"/>
          </w:tcPr>
          <w:p w14:paraId="629A7F7F" w14:textId="77777777" w:rsidR="004E45E5" w:rsidRPr="000F7085" w:rsidRDefault="004E45E5" w:rsidP="004E45E5">
            <w:pPr>
              <w:pStyle w:val="ListParagraph"/>
              <w:numPr>
                <w:ilvl w:val="0"/>
                <w:numId w:val="9"/>
              </w:numPr>
              <w:spacing w:line="276" w:lineRule="auto"/>
              <w:rPr>
                <w:sz w:val="22"/>
              </w:rPr>
            </w:pPr>
            <w:r w:rsidRPr="000F7085">
              <w:rPr>
                <w:sz w:val="22"/>
                <w:lang w:eastAsia="en-AU"/>
              </w:rPr>
              <w:t>Do</w:t>
            </w:r>
            <w:r w:rsidRPr="000F7085">
              <w:rPr>
                <w:sz w:val="22"/>
              </w:rPr>
              <w:t xml:space="preserve"> you support the proposed amendments to the explosion-protection provisions in clauses 78(2) and 78(3) of the WHS (MPS) Regulation to make it explicit that electrical plant used in an underground coal mine must </w:t>
            </w:r>
            <w:r w:rsidRPr="000F7085">
              <w:rPr>
                <w:b/>
                <w:bCs/>
                <w:sz w:val="22"/>
                <w:u w:val="single"/>
              </w:rPr>
              <w:lastRenderedPageBreak/>
              <w:t>comply</w:t>
            </w:r>
            <w:r w:rsidRPr="000F7085">
              <w:rPr>
                <w:b/>
                <w:bCs/>
                <w:sz w:val="22"/>
              </w:rPr>
              <w:t xml:space="preserve"> </w:t>
            </w:r>
            <w:r w:rsidRPr="000F7085">
              <w:rPr>
                <w:sz w:val="22"/>
              </w:rPr>
              <w:t>with the requirements of the certificate of conformity or Departmental approval?</w:t>
            </w:r>
          </w:p>
          <w:p w14:paraId="3C6B8EC5" w14:textId="77777777" w:rsidR="001064AD" w:rsidRPr="000F7085" w:rsidRDefault="001064AD" w:rsidP="00335E69">
            <w:pPr>
              <w:pStyle w:val="tablebody"/>
              <w:rPr>
                <w:sz w:val="22"/>
                <w:szCs w:val="22"/>
              </w:rPr>
            </w:pPr>
          </w:p>
        </w:tc>
        <w:tc>
          <w:tcPr>
            <w:tcW w:w="5663" w:type="dxa"/>
          </w:tcPr>
          <w:p w14:paraId="05510106" w14:textId="2AB513EF" w:rsidR="001064AD" w:rsidRDefault="001064AD" w:rsidP="00335E69">
            <w:pPr>
              <w:pStyle w:val="tablebody"/>
            </w:pPr>
            <w:r>
              <w:lastRenderedPageBreak/>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E8BE6CD" w14:textId="77777777" w:rsidTr="004E45E5">
        <w:tc>
          <w:tcPr>
            <w:tcW w:w="4531" w:type="dxa"/>
          </w:tcPr>
          <w:p w14:paraId="46DF7F1F" w14:textId="6C4081ED" w:rsidR="001064AD" w:rsidRPr="000F7085" w:rsidRDefault="004E45E5" w:rsidP="004E45E5">
            <w:pPr>
              <w:pStyle w:val="tablebody"/>
              <w:numPr>
                <w:ilvl w:val="0"/>
                <w:numId w:val="9"/>
              </w:numPr>
              <w:rPr>
                <w:rStyle w:val="Hyperlink"/>
                <w:color w:val="auto"/>
                <w:sz w:val="22"/>
                <w:szCs w:val="22"/>
                <w:u w:val="none"/>
              </w:rPr>
            </w:pPr>
            <w:r w:rsidRPr="000F7085">
              <w:rPr>
                <w:sz w:val="22"/>
                <w:szCs w:val="22"/>
                <w:lang w:eastAsia="en-AU"/>
              </w:rPr>
              <w:t>Do</w:t>
            </w:r>
            <w:r w:rsidRPr="000F7085">
              <w:rPr>
                <w:sz w:val="22"/>
                <w:szCs w:val="22"/>
              </w:rPr>
              <w:t xml:space="preserve"> you support the proposal to amend clause 80 of the WHS (MPS) Regulation to incorporate the provisions outlined in the class exemption titled </w:t>
            </w:r>
            <w:r w:rsidRPr="000F7085">
              <w:rPr>
                <w:i/>
                <w:iCs/>
                <w:sz w:val="22"/>
                <w:szCs w:val="22"/>
              </w:rPr>
              <w:t xml:space="preserve">Work Health and Safety (Mines and Petroleum Sites) Exemption (Use of Cables in Hazardous Zones) 2020 </w:t>
            </w:r>
            <w:r w:rsidRPr="000F7085">
              <w:rPr>
                <w:sz w:val="22"/>
                <w:szCs w:val="22"/>
              </w:rPr>
              <w:t xml:space="preserve">as published in the </w:t>
            </w:r>
            <w:hyperlink r:id="rId11" w:history="1">
              <w:r w:rsidRPr="000F7085">
                <w:rPr>
                  <w:rStyle w:val="Hyperlink"/>
                  <w:sz w:val="22"/>
                  <w:szCs w:val="22"/>
                </w:rPr>
                <w:t>NSW Government Gazette No 171 of 7 August 2020</w:t>
              </w:r>
            </w:hyperlink>
            <w:r w:rsidR="00DC3F8D">
              <w:rPr>
                <w:rStyle w:val="Hyperlink"/>
                <w:sz w:val="22"/>
                <w:szCs w:val="22"/>
              </w:rPr>
              <w:t>?</w:t>
            </w:r>
          </w:p>
          <w:p w14:paraId="2CCD2096" w14:textId="085BDAA4" w:rsidR="004E45E5" w:rsidRPr="000F7085" w:rsidRDefault="004E45E5" w:rsidP="004E45E5">
            <w:pPr>
              <w:pStyle w:val="tablebody"/>
              <w:rPr>
                <w:sz w:val="22"/>
                <w:szCs w:val="22"/>
              </w:rPr>
            </w:pPr>
          </w:p>
        </w:tc>
        <w:tc>
          <w:tcPr>
            <w:tcW w:w="5663" w:type="dxa"/>
          </w:tcPr>
          <w:p w14:paraId="5467D60F" w14:textId="7FCA88F8"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13CD1A05" w14:textId="77777777" w:rsidTr="004E45E5">
        <w:tc>
          <w:tcPr>
            <w:tcW w:w="4531" w:type="dxa"/>
          </w:tcPr>
          <w:p w14:paraId="39363EA4" w14:textId="55075A42" w:rsidR="004E45E5" w:rsidRPr="000F7085" w:rsidRDefault="004E45E5" w:rsidP="004E45E5">
            <w:pPr>
              <w:pStyle w:val="ListParagraph"/>
              <w:numPr>
                <w:ilvl w:val="0"/>
                <w:numId w:val="9"/>
              </w:numPr>
              <w:spacing w:line="276" w:lineRule="auto"/>
              <w:rPr>
                <w:sz w:val="22"/>
              </w:rPr>
            </w:pPr>
            <w:r w:rsidRPr="000F7085">
              <w:rPr>
                <w:sz w:val="22"/>
              </w:rPr>
              <w:t>Should the wording in clause 93 of the WHS (MPS) Regulation be amended to be consistent with clause 89 to ensure that consultation with emergency services is included when the emergency plans are tested?</w:t>
            </w:r>
          </w:p>
          <w:p w14:paraId="482208C9" w14:textId="77777777" w:rsidR="001064AD" w:rsidRPr="000F7085" w:rsidRDefault="001064AD" w:rsidP="00335E69">
            <w:pPr>
              <w:pStyle w:val="tablebody"/>
              <w:rPr>
                <w:sz w:val="22"/>
                <w:szCs w:val="22"/>
              </w:rPr>
            </w:pPr>
          </w:p>
        </w:tc>
        <w:tc>
          <w:tcPr>
            <w:tcW w:w="5663" w:type="dxa"/>
          </w:tcPr>
          <w:p w14:paraId="5CB7D757" w14:textId="1F7E4C25"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DA08E72" w14:textId="77777777" w:rsidTr="004E45E5">
        <w:tc>
          <w:tcPr>
            <w:tcW w:w="4531" w:type="dxa"/>
          </w:tcPr>
          <w:p w14:paraId="73637002" w14:textId="161E7104" w:rsidR="004E45E5" w:rsidRPr="000F7085" w:rsidRDefault="004E45E5" w:rsidP="004E45E5">
            <w:pPr>
              <w:pStyle w:val="ListParagraph"/>
              <w:numPr>
                <w:ilvl w:val="0"/>
                <w:numId w:val="9"/>
              </w:numPr>
              <w:spacing w:line="276" w:lineRule="auto"/>
              <w:rPr>
                <w:sz w:val="22"/>
              </w:rPr>
            </w:pPr>
            <w:r w:rsidRPr="000F7085">
              <w:rPr>
                <w:sz w:val="22"/>
              </w:rPr>
              <w:t>Do you agree with amending 128(5) of the WHS (MPS) Regulation to make exceedances of diesel particulate matter and substances and mixtures specified in clause 50 of the WHS Regulation a high potential incident?</w:t>
            </w:r>
          </w:p>
          <w:p w14:paraId="3E6BFD7F" w14:textId="77777777" w:rsidR="001064AD" w:rsidRPr="000F7085" w:rsidRDefault="001064AD" w:rsidP="00335E69">
            <w:pPr>
              <w:pStyle w:val="tablebody"/>
              <w:rPr>
                <w:sz w:val="22"/>
                <w:szCs w:val="22"/>
              </w:rPr>
            </w:pPr>
          </w:p>
        </w:tc>
        <w:tc>
          <w:tcPr>
            <w:tcW w:w="5663" w:type="dxa"/>
          </w:tcPr>
          <w:p w14:paraId="4FE8B625" w14:textId="6D068519"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20A2BA39" w14:textId="77777777" w:rsidTr="004E45E5">
        <w:tc>
          <w:tcPr>
            <w:tcW w:w="4531" w:type="dxa"/>
          </w:tcPr>
          <w:p w14:paraId="129D433A" w14:textId="77777777" w:rsidR="004E45E5" w:rsidRPr="000F7085" w:rsidRDefault="004E45E5" w:rsidP="004E45E5">
            <w:pPr>
              <w:pStyle w:val="ListParagraph"/>
              <w:numPr>
                <w:ilvl w:val="0"/>
                <w:numId w:val="9"/>
              </w:numPr>
              <w:spacing w:line="276" w:lineRule="auto"/>
              <w:rPr>
                <w:sz w:val="22"/>
              </w:rPr>
            </w:pPr>
            <w:r w:rsidRPr="000F7085">
              <w:rPr>
                <w:rFonts w:cstheme="minorBidi"/>
                <w:sz w:val="22"/>
              </w:rPr>
              <w:t>Should Schedule 3 of the WHS (MPS) Regulation be amended to include raised bore activity as a high risk activity?</w:t>
            </w:r>
          </w:p>
          <w:p w14:paraId="03857F90" w14:textId="77777777" w:rsidR="001064AD" w:rsidRPr="000F7085" w:rsidRDefault="001064AD" w:rsidP="00335E69">
            <w:pPr>
              <w:pStyle w:val="tablebody"/>
              <w:rPr>
                <w:sz w:val="22"/>
                <w:szCs w:val="22"/>
              </w:rPr>
            </w:pPr>
          </w:p>
        </w:tc>
        <w:tc>
          <w:tcPr>
            <w:tcW w:w="5663" w:type="dxa"/>
          </w:tcPr>
          <w:p w14:paraId="337B6A1D" w14:textId="158C9FC6" w:rsidR="001064AD" w:rsidRDefault="001064AD"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4AD" w14:paraId="42A6314B" w14:textId="77777777" w:rsidTr="004E45E5">
        <w:tc>
          <w:tcPr>
            <w:tcW w:w="4531" w:type="dxa"/>
          </w:tcPr>
          <w:p w14:paraId="39FECBA2" w14:textId="77777777" w:rsidR="004E45E5" w:rsidRPr="000F7085" w:rsidRDefault="004E45E5" w:rsidP="004E45E5">
            <w:pPr>
              <w:pStyle w:val="ListParagraph"/>
              <w:numPr>
                <w:ilvl w:val="0"/>
                <w:numId w:val="9"/>
              </w:numPr>
              <w:spacing w:line="276" w:lineRule="auto"/>
              <w:rPr>
                <w:sz w:val="22"/>
              </w:rPr>
            </w:pPr>
            <w:r w:rsidRPr="000F7085">
              <w:rPr>
                <w:sz w:val="22"/>
              </w:rPr>
              <w:t xml:space="preserve">Should the WHS (MPS) Regulation be amended to include a requirement that at least one person who has undertaken safety training as specified </w:t>
            </w:r>
            <w:r w:rsidRPr="000F7085">
              <w:rPr>
                <w:sz w:val="22"/>
              </w:rPr>
              <w:lastRenderedPageBreak/>
              <w:t>by the regulator be present at an opal mine when mining activity is taking place?</w:t>
            </w:r>
          </w:p>
          <w:p w14:paraId="1DCECE76" w14:textId="77777777" w:rsidR="001064AD" w:rsidRPr="000F7085" w:rsidRDefault="001064AD" w:rsidP="00335E69">
            <w:pPr>
              <w:pStyle w:val="tablebody"/>
              <w:rPr>
                <w:sz w:val="22"/>
                <w:szCs w:val="22"/>
              </w:rPr>
            </w:pPr>
          </w:p>
        </w:tc>
        <w:tc>
          <w:tcPr>
            <w:tcW w:w="5663" w:type="dxa"/>
          </w:tcPr>
          <w:p w14:paraId="21D34FB9" w14:textId="4EDA3117" w:rsidR="001064AD" w:rsidRDefault="001064AD" w:rsidP="00335E69">
            <w:pPr>
              <w:pStyle w:val="tablebody"/>
            </w:pPr>
            <w:r>
              <w:lastRenderedPageBreak/>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6862B9" w14:textId="41EA8322" w:rsidR="00A82CD8" w:rsidRPr="00F737F3" w:rsidRDefault="00A82CD8" w:rsidP="00A82CD8">
      <w:pPr>
        <w:pStyle w:val="Heading2"/>
      </w:pPr>
      <w:r>
        <w:t>Submitting the form</w:t>
      </w:r>
    </w:p>
    <w:p w14:paraId="1CA006FC" w14:textId="09323996" w:rsidR="00A82CD8" w:rsidRPr="00AA39F7" w:rsidRDefault="00A82CD8" w:rsidP="00AA39F7">
      <w:pPr>
        <w:pStyle w:val="BodyText"/>
      </w:pPr>
      <w:r w:rsidRPr="00AA39F7">
        <w:rPr>
          <w:b/>
          <w:bCs/>
        </w:rPr>
        <w:t>Email</w:t>
      </w:r>
      <w:r w:rsidR="00AA39F7" w:rsidRPr="00AA39F7">
        <w:rPr>
          <w:b/>
          <w:bCs/>
        </w:rPr>
        <w:t>:</w:t>
      </w:r>
      <w:r w:rsidR="00AA39F7" w:rsidRPr="00AA39F7">
        <w:t xml:space="preserve"> </w:t>
      </w:r>
      <w:r w:rsidR="00AA39F7">
        <w:tab/>
      </w:r>
      <w:r w:rsidR="00AA39F7">
        <w:tab/>
      </w:r>
      <w:hyperlink r:id="rId12" w:history="1">
        <w:r w:rsidR="00AA39F7" w:rsidRPr="00F07CD0">
          <w:rPr>
            <w:rStyle w:val="Hyperlink"/>
          </w:rPr>
          <w:t>rr.feedback@planning.nsw.gov.au</w:t>
        </w:r>
      </w:hyperlink>
    </w:p>
    <w:p w14:paraId="06993D95" w14:textId="77777777" w:rsidR="00984A50" w:rsidRDefault="00AA39F7" w:rsidP="00984A50">
      <w:pPr>
        <w:pStyle w:val="BodyText"/>
        <w:spacing w:before="0" w:after="0"/>
      </w:pPr>
      <w:r w:rsidRPr="00AA39F7">
        <w:rPr>
          <w:b/>
          <w:bCs/>
        </w:rPr>
        <w:t>Post:</w:t>
      </w:r>
      <w:r w:rsidRPr="00AA39F7">
        <w:tab/>
      </w:r>
      <w:r>
        <w:tab/>
      </w:r>
      <w:r w:rsidR="00984A50">
        <w:t xml:space="preserve">WHS (MPS) Laws amendments </w:t>
      </w:r>
    </w:p>
    <w:p w14:paraId="3FDC4210" w14:textId="77777777" w:rsidR="00984A50" w:rsidRDefault="00984A50" w:rsidP="00984A50">
      <w:pPr>
        <w:pStyle w:val="BodyText"/>
        <w:spacing w:before="0" w:after="0"/>
        <w:ind w:left="720" w:firstLine="720"/>
      </w:pPr>
      <w:r>
        <w:t>NSW Resources Regulator</w:t>
      </w:r>
    </w:p>
    <w:p w14:paraId="7FDF3DD8" w14:textId="77777777" w:rsidR="00984A50" w:rsidRDefault="00984A50" w:rsidP="00984A50">
      <w:pPr>
        <w:pStyle w:val="BodyText"/>
        <w:spacing w:before="0" w:after="0"/>
        <w:ind w:left="720" w:firstLine="720"/>
      </w:pPr>
      <w:r w:rsidRPr="00B44FA0">
        <w:t>Regulatory Programs</w:t>
      </w:r>
    </w:p>
    <w:p w14:paraId="32548619" w14:textId="77777777" w:rsidR="00984A50" w:rsidRDefault="00984A50" w:rsidP="00984A50">
      <w:pPr>
        <w:pStyle w:val="BodyText"/>
        <w:spacing w:before="0"/>
        <w:ind w:left="720" w:firstLine="720"/>
      </w:pPr>
      <w:r>
        <w:t>PO Box 344 Hunter Regional Mail Centre 2310 NSW</w:t>
      </w:r>
    </w:p>
    <w:p w14:paraId="23F23CC6" w14:textId="6FA94605" w:rsidR="00746EB1" w:rsidRDefault="00746EB1" w:rsidP="00984A50">
      <w:pPr>
        <w:pStyle w:val="BodyText"/>
      </w:pPr>
    </w:p>
    <w:p w14:paraId="6F5B00B6" w14:textId="33677B4E" w:rsidR="00BD011A" w:rsidRDefault="00BD011A" w:rsidP="00BD011A">
      <w:pPr>
        <w:pStyle w:val="Disclaimer"/>
      </w:pPr>
      <w:r>
        <w:t xml:space="preserve">© State of New South Wales through </w:t>
      </w:r>
      <w:r w:rsidR="003329CE">
        <w:t>Regional NSW</w:t>
      </w:r>
      <w:r w:rsidR="00AA39F7">
        <w:t xml:space="preserve"> 202</w:t>
      </w:r>
      <w:r w:rsidR="001F2C78">
        <w:t>1</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1372B33" w14:textId="22C98BEE" w:rsidR="00BD011A" w:rsidRDefault="00BD011A" w:rsidP="00BD011A">
      <w:pPr>
        <w:pStyle w:val="Disclaimer"/>
      </w:pPr>
      <w:r>
        <w:t>Disclaimer: The information contained in this publication is based on knowledge and understanding at the time of writing (</w:t>
      </w:r>
      <w:r w:rsidR="001064AD">
        <w:t>April</w:t>
      </w:r>
      <w:r w:rsidR="001F2C78">
        <w:t xml:space="preserve"> </w:t>
      </w:r>
      <w:r w:rsidR="00AA39F7">
        <w:t>202</w:t>
      </w:r>
      <w:r w:rsidR="001F2C78">
        <w:t>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C80F85B" w14:textId="48B3A574" w:rsidR="00A70D3C" w:rsidRDefault="001F2C78" w:rsidP="00E813EB">
      <w:pPr>
        <w:pStyle w:val="Disclaimer"/>
      </w:pPr>
      <w:r w:rsidRPr="00746EB1">
        <w:t>DOC 21/</w:t>
      </w:r>
      <w:r w:rsidR="0037035C" w:rsidRPr="001575E4">
        <w:t>241846</w:t>
      </w:r>
    </w:p>
    <w:sectPr w:rsidR="00A70D3C" w:rsidSect="00AA39F7">
      <w:headerReference w:type="default" r:id="rId13"/>
      <w:footerReference w:type="default" r:id="rId14"/>
      <w:headerReference w:type="first" r:id="rId15"/>
      <w:footerReference w:type="first" r:id="rId16"/>
      <w:pgSz w:w="11906" w:h="16838" w:code="9"/>
      <w:pgMar w:top="2438" w:right="851" w:bottom="170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222E" w14:textId="77777777" w:rsidR="00574D82" w:rsidRDefault="00574D82" w:rsidP="00870475">
      <w:pPr>
        <w:spacing w:after="0" w:line="240" w:lineRule="auto"/>
      </w:pPr>
      <w:r>
        <w:separator/>
      </w:r>
    </w:p>
  </w:endnote>
  <w:endnote w:type="continuationSeparator" w:id="0">
    <w:p w14:paraId="2244628D" w14:textId="77777777" w:rsidR="00574D82" w:rsidRDefault="00574D82"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Malgun Gothic"/>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C61D"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0D861B6E" wp14:editId="6CD70C5F">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61B6E"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9852"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517B405D" wp14:editId="00611F22">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B405D"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BB92F" w14:textId="77777777" w:rsidR="00574D82" w:rsidRDefault="00574D82" w:rsidP="00870475">
      <w:pPr>
        <w:spacing w:after="0" w:line="240" w:lineRule="auto"/>
      </w:pPr>
      <w:r>
        <w:separator/>
      </w:r>
    </w:p>
  </w:footnote>
  <w:footnote w:type="continuationSeparator" w:id="0">
    <w:p w14:paraId="4C399319" w14:textId="77777777" w:rsidR="00574D82" w:rsidRDefault="00574D82"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6BF1"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6B8F0F0" wp14:editId="7FFFD2B8">
          <wp:simplePos x="0" y="0"/>
          <wp:positionH relativeFrom="column">
            <wp:posOffset>5236960</wp:posOffset>
          </wp:positionH>
          <wp:positionV relativeFrom="paragraph">
            <wp:posOffset>42714</wp:posOffset>
          </wp:positionV>
          <wp:extent cx="1260000" cy="6905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443CB24" wp14:editId="07D4E5F2">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28F40BAF" w14:textId="3F9A0CF2" w:rsidR="006B459A" w:rsidRPr="00C15256" w:rsidRDefault="00AA39F7" w:rsidP="009B3062">
                          <w:pPr>
                            <w:pStyle w:val="Secondaryheader"/>
                          </w:pPr>
                          <w:r>
                            <w:t xml:space="preserve">PUBLIC consultation </w:t>
                          </w:r>
                          <w:r w:rsidR="00D3622B">
                            <w:t>FORM</w:t>
                          </w:r>
                        </w:p>
                        <w:p w14:paraId="3570F21F" w14:textId="1E2A07B9" w:rsidR="006B459A" w:rsidRPr="009B3062" w:rsidRDefault="001064AD" w:rsidP="009B3062">
                          <w:pPr>
                            <w:pStyle w:val="Secondaryheadersubtitle"/>
                          </w:pPr>
                          <w:r>
                            <w:t>WHS(</w:t>
                          </w:r>
                          <w:r w:rsidR="00807D08">
                            <w:t>MPS) Laws amendments</w:t>
                          </w:r>
                        </w:p>
                        <w:p w14:paraId="4905644E"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3CB2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28F40BAF" w14:textId="3F9A0CF2" w:rsidR="006B459A" w:rsidRPr="00C15256" w:rsidRDefault="00AA39F7" w:rsidP="009B3062">
                    <w:pPr>
                      <w:pStyle w:val="Secondaryheader"/>
                    </w:pPr>
                    <w:r>
                      <w:t xml:space="preserve">PUBLIC consultation </w:t>
                    </w:r>
                    <w:r w:rsidR="00D3622B">
                      <w:t>FORM</w:t>
                    </w:r>
                  </w:p>
                  <w:p w14:paraId="3570F21F" w14:textId="1E2A07B9" w:rsidR="006B459A" w:rsidRPr="009B3062" w:rsidRDefault="001064AD" w:rsidP="009B3062">
                    <w:pPr>
                      <w:pStyle w:val="Secondaryheadersubtitle"/>
                    </w:pPr>
                    <w:r>
                      <w:t>WHS(</w:t>
                    </w:r>
                    <w:r w:rsidR="00807D08">
                      <w:t>MPS) Laws amendments</w:t>
                    </w:r>
                  </w:p>
                  <w:p w14:paraId="4905644E"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56F7"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1102884F" wp14:editId="2933F27A">
          <wp:simplePos x="0" y="0"/>
          <wp:positionH relativeFrom="margin">
            <wp:posOffset>0</wp:posOffset>
          </wp:positionH>
          <wp:positionV relativeFrom="paragraph">
            <wp:posOffset>121920</wp:posOffset>
          </wp:positionV>
          <wp:extent cx="2489200" cy="772402"/>
          <wp:effectExtent l="0" t="0" r="6350" b="8890"/>
          <wp:wrapNone/>
          <wp:docPr id="48" name="Picture 4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48E9F981" wp14:editId="531592C5">
          <wp:simplePos x="0" y="0"/>
          <wp:positionH relativeFrom="column">
            <wp:posOffset>4841875</wp:posOffset>
          </wp:positionH>
          <wp:positionV relativeFrom="paragraph">
            <wp:posOffset>139065</wp:posOffset>
          </wp:positionV>
          <wp:extent cx="1504315" cy="824230"/>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7DAC5F49" wp14:editId="58D07DE9">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3159B2D" w14:textId="2DCA292A" w:rsidR="00E813EB" w:rsidRDefault="00335E69" w:rsidP="00E813EB">
                          <w:pPr>
                            <w:pStyle w:val="Title"/>
                            <w:spacing w:after="0"/>
                            <w:ind w:firstLine="0"/>
                          </w:pPr>
                          <w:r>
                            <w:t xml:space="preserve">public consultation </w:t>
                          </w:r>
                          <w:r w:rsidR="00AA39F7">
                            <w:t>FORM</w:t>
                          </w:r>
                        </w:p>
                        <w:p w14:paraId="4EEF09F5" w14:textId="25C8EBEF" w:rsidR="00296909" w:rsidRPr="00296909" w:rsidRDefault="001064AD" w:rsidP="00296909">
                          <w:pPr>
                            <w:pStyle w:val="Subtitle"/>
                          </w:pPr>
                          <w:r>
                            <w:t xml:space="preserve">Discussion Paper </w:t>
                          </w:r>
                          <w:bookmarkStart w:id="5" w:name="_Hlk67926679"/>
                          <w:r>
                            <w:t>WHS</w:t>
                          </w:r>
                          <w:r w:rsidR="00DC3F8D">
                            <w:t xml:space="preserve"> (</w:t>
                          </w:r>
                          <w:r>
                            <w:t>MPS</w:t>
                          </w:r>
                          <w:r w:rsidR="00DC3F8D">
                            <w:t>)</w:t>
                          </w:r>
                          <w:r>
                            <w:t xml:space="preserve"> Laws amendments</w:t>
                          </w:r>
                          <w:bookmarkEnd w:id="5"/>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AC5F4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63159B2D" w14:textId="2DCA292A" w:rsidR="00E813EB" w:rsidRDefault="00335E69" w:rsidP="00E813EB">
                    <w:pPr>
                      <w:pStyle w:val="Title"/>
                      <w:spacing w:after="0"/>
                      <w:ind w:firstLine="0"/>
                    </w:pPr>
                    <w:r>
                      <w:t xml:space="preserve">public consultation </w:t>
                    </w:r>
                    <w:r w:rsidR="00AA39F7">
                      <w:t>FORM</w:t>
                    </w:r>
                  </w:p>
                  <w:p w14:paraId="4EEF09F5" w14:textId="25C8EBEF" w:rsidR="00296909" w:rsidRPr="00296909" w:rsidRDefault="001064AD" w:rsidP="00296909">
                    <w:pPr>
                      <w:pStyle w:val="Subtitle"/>
                    </w:pPr>
                    <w:r>
                      <w:t xml:space="preserve">Discussion Paper </w:t>
                    </w:r>
                    <w:bookmarkStart w:id="7" w:name="_Hlk67926679"/>
                    <w:r>
                      <w:t>WHS</w:t>
                    </w:r>
                    <w:r w:rsidR="00DC3F8D">
                      <w:t xml:space="preserve"> (</w:t>
                    </w:r>
                    <w:r>
                      <w:t>MPS</w:t>
                    </w:r>
                    <w:r w:rsidR="00DC3F8D">
                      <w:t>)</w:t>
                    </w:r>
                    <w:r>
                      <w:t xml:space="preserve"> Laws amendments</w:t>
                    </w:r>
                    <w:bookmarkEnd w:id="7"/>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56A10"/>
    <w:multiLevelType w:val="hybridMultilevel"/>
    <w:tmpl w:val="C122B082"/>
    <w:lvl w:ilvl="0" w:tplc="3EF0089C">
      <w:start w:val="2"/>
      <w:numFmt w:val="bullet"/>
      <w:lvlText w:val=""/>
      <w:lvlJc w:val="left"/>
      <w:pPr>
        <w:ind w:left="720" w:hanging="360"/>
      </w:pPr>
      <w:rPr>
        <w:rFonts w:ascii="Symbol" w:eastAsia="Calibri" w:hAnsi="Symbol" w:cs="Myriad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81BA5"/>
    <w:multiLevelType w:val="hybridMultilevel"/>
    <w:tmpl w:val="D402E778"/>
    <w:lvl w:ilvl="0" w:tplc="A9E8A270">
      <w:start w:val="1"/>
      <w:numFmt w:val="lowerRoman"/>
      <w:lvlText w:val="(%1)"/>
      <w:lvlJc w:val="left"/>
      <w:pPr>
        <w:ind w:left="720" w:hanging="72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7"/>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0ihlOE1ENypZZFFRteuw8QXBp0WqErG/xjnvvJa0rUP6M1+102bmUkyYUSQYoRnMvxrdatrAQjlCv/Ulgv6rRg==" w:salt="up//PM1b5bqpU1jQvubyR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9"/>
    <w:rsid w:val="00014971"/>
    <w:rsid w:val="000171CB"/>
    <w:rsid w:val="00023AA1"/>
    <w:rsid w:val="00046DAC"/>
    <w:rsid w:val="00051FB0"/>
    <w:rsid w:val="000553C0"/>
    <w:rsid w:val="00062168"/>
    <w:rsid w:val="00063027"/>
    <w:rsid w:val="00063866"/>
    <w:rsid w:val="00066BC7"/>
    <w:rsid w:val="00071DD1"/>
    <w:rsid w:val="000801C6"/>
    <w:rsid w:val="00080F9A"/>
    <w:rsid w:val="000814C9"/>
    <w:rsid w:val="000903B2"/>
    <w:rsid w:val="000A52E3"/>
    <w:rsid w:val="000B1B26"/>
    <w:rsid w:val="000B5D4D"/>
    <w:rsid w:val="000C2D28"/>
    <w:rsid w:val="000C3F22"/>
    <w:rsid w:val="000C4D13"/>
    <w:rsid w:val="000D066B"/>
    <w:rsid w:val="000D1266"/>
    <w:rsid w:val="000D199B"/>
    <w:rsid w:val="000D2029"/>
    <w:rsid w:val="000F23B6"/>
    <w:rsid w:val="000F435F"/>
    <w:rsid w:val="000F556B"/>
    <w:rsid w:val="000F583F"/>
    <w:rsid w:val="000F7085"/>
    <w:rsid w:val="00100319"/>
    <w:rsid w:val="001019D0"/>
    <w:rsid w:val="00103336"/>
    <w:rsid w:val="00105659"/>
    <w:rsid w:val="001064AD"/>
    <w:rsid w:val="00107FD3"/>
    <w:rsid w:val="00115A9F"/>
    <w:rsid w:val="001179B1"/>
    <w:rsid w:val="00121FC5"/>
    <w:rsid w:val="00125AE3"/>
    <w:rsid w:val="00126DC8"/>
    <w:rsid w:val="0012762A"/>
    <w:rsid w:val="00130947"/>
    <w:rsid w:val="0013306E"/>
    <w:rsid w:val="00140412"/>
    <w:rsid w:val="001425BA"/>
    <w:rsid w:val="00144B7B"/>
    <w:rsid w:val="001478E7"/>
    <w:rsid w:val="0015020B"/>
    <w:rsid w:val="0015218A"/>
    <w:rsid w:val="0015489D"/>
    <w:rsid w:val="001575E4"/>
    <w:rsid w:val="00157814"/>
    <w:rsid w:val="00157B1E"/>
    <w:rsid w:val="001730AE"/>
    <w:rsid w:val="00173147"/>
    <w:rsid w:val="00175C56"/>
    <w:rsid w:val="00187C40"/>
    <w:rsid w:val="00191420"/>
    <w:rsid w:val="00192A75"/>
    <w:rsid w:val="00197142"/>
    <w:rsid w:val="001A291F"/>
    <w:rsid w:val="001A2F07"/>
    <w:rsid w:val="001A4A83"/>
    <w:rsid w:val="001B4955"/>
    <w:rsid w:val="001C02CD"/>
    <w:rsid w:val="001C051D"/>
    <w:rsid w:val="001C0DEB"/>
    <w:rsid w:val="001C1AF5"/>
    <w:rsid w:val="001C64CE"/>
    <w:rsid w:val="001D06E1"/>
    <w:rsid w:val="001D5170"/>
    <w:rsid w:val="001E423A"/>
    <w:rsid w:val="001E5DC9"/>
    <w:rsid w:val="001F2C78"/>
    <w:rsid w:val="001F5E0D"/>
    <w:rsid w:val="002100B0"/>
    <w:rsid w:val="002117D1"/>
    <w:rsid w:val="00221A19"/>
    <w:rsid w:val="002272F4"/>
    <w:rsid w:val="00230E8C"/>
    <w:rsid w:val="00234FA6"/>
    <w:rsid w:val="0023752D"/>
    <w:rsid w:val="002376B4"/>
    <w:rsid w:val="0025015C"/>
    <w:rsid w:val="00252FB7"/>
    <w:rsid w:val="00253965"/>
    <w:rsid w:val="002671CB"/>
    <w:rsid w:val="0027446D"/>
    <w:rsid w:val="00276E57"/>
    <w:rsid w:val="0028081D"/>
    <w:rsid w:val="002903A6"/>
    <w:rsid w:val="00295B2A"/>
    <w:rsid w:val="00296909"/>
    <w:rsid w:val="002B667D"/>
    <w:rsid w:val="002B7C5E"/>
    <w:rsid w:val="002C4D41"/>
    <w:rsid w:val="002D2C39"/>
    <w:rsid w:val="002E769D"/>
    <w:rsid w:val="002E78B5"/>
    <w:rsid w:val="002E7B51"/>
    <w:rsid w:val="00317318"/>
    <w:rsid w:val="003329CE"/>
    <w:rsid w:val="00335E69"/>
    <w:rsid w:val="00351F31"/>
    <w:rsid w:val="00357FCF"/>
    <w:rsid w:val="0037035C"/>
    <w:rsid w:val="0039532A"/>
    <w:rsid w:val="003977A6"/>
    <w:rsid w:val="003B15F3"/>
    <w:rsid w:val="003C4B34"/>
    <w:rsid w:val="003C4BE9"/>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3F19"/>
    <w:rsid w:val="00485316"/>
    <w:rsid w:val="004900C8"/>
    <w:rsid w:val="00492913"/>
    <w:rsid w:val="00494E8C"/>
    <w:rsid w:val="004A6347"/>
    <w:rsid w:val="004E336A"/>
    <w:rsid w:val="004E43CC"/>
    <w:rsid w:val="004E45E5"/>
    <w:rsid w:val="004E4E55"/>
    <w:rsid w:val="004F1680"/>
    <w:rsid w:val="00510902"/>
    <w:rsid w:val="005167A0"/>
    <w:rsid w:val="00542706"/>
    <w:rsid w:val="00543D29"/>
    <w:rsid w:val="005448F4"/>
    <w:rsid w:val="00552143"/>
    <w:rsid w:val="00553161"/>
    <w:rsid w:val="00571A0E"/>
    <w:rsid w:val="00571A6F"/>
    <w:rsid w:val="00574D82"/>
    <w:rsid w:val="00575660"/>
    <w:rsid w:val="005838DC"/>
    <w:rsid w:val="00587395"/>
    <w:rsid w:val="00590982"/>
    <w:rsid w:val="00592133"/>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5BD9"/>
    <w:rsid w:val="006C7165"/>
    <w:rsid w:val="006C786F"/>
    <w:rsid w:val="006D1500"/>
    <w:rsid w:val="006D57F9"/>
    <w:rsid w:val="006F0894"/>
    <w:rsid w:val="006F09A0"/>
    <w:rsid w:val="006F2BF5"/>
    <w:rsid w:val="006F4C4D"/>
    <w:rsid w:val="00704FA4"/>
    <w:rsid w:val="00706608"/>
    <w:rsid w:val="007379BC"/>
    <w:rsid w:val="00746EB1"/>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D786F"/>
    <w:rsid w:val="007E7F59"/>
    <w:rsid w:val="007F7122"/>
    <w:rsid w:val="007F7DA6"/>
    <w:rsid w:val="008012C8"/>
    <w:rsid w:val="00806EC8"/>
    <w:rsid w:val="00807D08"/>
    <w:rsid w:val="008108AC"/>
    <w:rsid w:val="00810A68"/>
    <w:rsid w:val="00827381"/>
    <w:rsid w:val="008428C7"/>
    <w:rsid w:val="00870475"/>
    <w:rsid w:val="00875464"/>
    <w:rsid w:val="0087676B"/>
    <w:rsid w:val="0088241A"/>
    <w:rsid w:val="0088253F"/>
    <w:rsid w:val="00883008"/>
    <w:rsid w:val="00890D1F"/>
    <w:rsid w:val="008A0BF6"/>
    <w:rsid w:val="008B100C"/>
    <w:rsid w:val="008B5206"/>
    <w:rsid w:val="008B5A59"/>
    <w:rsid w:val="008B5FF0"/>
    <w:rsid w:val="008D0020"/>
    <w:rsid w:val="008D06C2"/>
    <w:rsid w:val="008D463F"/>
    <w:rsid w:val="008E6133"/>
    <w:rsid w:val="008F6767"/>
    <w:rsid w:val="008F705B"/>
    <w:rsid w:val="00905A44"/>
    <w:rsid w:val="00905F85"/>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84A50"/>
    <w:rsid w:val="009B3062"/>
    <w:rsid w:val="009B591D"/>
    <w:rsid w:val="009C0F5D"/>
    <w:rsid w:val="009C11A2"/>
    <w:rsid w:val="009C20D8"/>
    <w:rsid w:val="009D557D"/>
    <w:rsid w:val="009E2ADE"/>
    <w:rsid w:val="009E4B92"/>
    <w:rsid w:val="009F2B2E"/>
    <w:rsid w:val="00A00BC5"/>
    <w:rsid w:val="00A03558"/>
    <w:rsid w:val="00A037DB"/>
    <w:rsid w:val="00A1580F"/>
    <w:rsid w:val="00A302A3"/>
    <w:rsid w:val="00A31C0A"/>
    <w:rsid w:val="00A33092"/>
    <w:rsid w:val="00A3606B"/>
    <w:rsid w:val="00A367D5"/>
    <w:rsid w:val="00A44B6D"/>
    <w:rsid w:val="00A5633F"/>
    <w:rsid w:val="00A600AC"/>
    <w:rsid w:val="00A70D3C"/>
    <w:rsid w:val="00A70FF0"/>
    <w:rsid w:val="00A74DD7"/>
    <w:rsid w:val="00A77CFA"/>
    <w:rsid w:val="00A804F4"/>
    <w:rsid w:val="00A80F8B"/>
    <w:rsid w:val="00A82CD8"/>
    <w:rsid w:val="00AA3517"/>
    <w:rsid w:val="00AA39F7"/>
    <w:rsid w:val="00AA6B34"/>
    <w:rsid w:val="00AB0350"/>
    <w:rsid w:val="00AB7227"/>
    <w:rsid w:val="00AC2F2B"/>
    <w:rsid w:val="00AE2AC9"/>
    <w:rsid w:val="00AE71F9"/>
    <w:rsid w:val="00AF0D4B"/>
    <w:rsid w:val="00B12505"/>
    <w:rsid w:val="00B1357A"/>
    <w:rsid w:val="00B20347"/>
    <w:rsid w:val="00B2504B"/>
    <w:rsid w:val="00B3202B"/>
    <w:rsid w:val="00B33E5F"/>
    <w:rsid w:val="00B37BD7"/>
    <w:rsid w:val="00B37E52"/>
    <w:rsid w:val="00B72A32"/>
    <w:rsid w:val="00B73A31"/>
    <w:rsid w:val="00B74998"/>
    <w:rsid w:val="00B80AF5"/>
    <w:rsid w:val="00B86C7A"/>
    <w:rsid w:val="00B90F1B"/>
    <w:rsid w:val="00B955A9"/>
    <w:rsid w:val="00BA22CA"/>
    <w:rsid w:val="00BA69DE"/>
    <w:rsid w:val="00BB0D31"/>
    <w:rsid w:val="00BB3C59"/>
    <w:rsid w:val="00BB4382"/>
    <w:rsid w:val="00BB50CD"/>
    <w:rsid w:val="00BB5F3C"/>
    <w:rsid w:val="00BD011A"/>
    <w:rsid w:val="00BF1358"/>
    <w:rsid w:val="00BF62F2"/>
    <w:rsid w:val="00C03A10"/>
    <w:rsid w:val="00C12D98"/>
    <w:rsid w:val="00C15256"/>
    <w:rsid w:val="00C20ED9"/>
    <w:rsid w:val="00C53CD0"/>
    <w:rsid w:val="00C54830"/>
    <w:rsid w:val="00C56623"/>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5B40"/>
    <w:rsid w:val="00CF7901"/>
    <w:rsid w:val="00D0120D"/>
    <w:rsid w:val="00D0606A"/>
    <w:rsid w:val="00D07102"/>
    <w:rsid w:val="00D12542"/>
    <w:rsid w:val="00D161CC"/>
    <w:rsid w:val="00D32AFA"/>
    <w:rsid w:val="00D3622B"/>
    <w:rsid w:val="00D40061"/>
    <w:rsid w:val="00D40B42"/>
    <w:rsid w:val="00D4317C"/>
    <w:rsid w:val="00D47186"/>
    <w:rsid w:val="00D474EF"/>
    <w:rsid w:val="00D527A3"/>
    <w:rsid w:val="00D5349F"/>
    <w:rsid w:val="00D672EB"/>
    <w:rsid w:val="00D72913"/>
    <w:rsid w:val="00D91158"/>
    <w:rsid w:val="00D950C9"/>
    <w:rsid w:val="00DB2042"/>
    <w:rsid w:val="00DB6259"/>
    <w:rsid w:val="00DC249D"/>
    <w:rsid w:val="00DC3F8D"/>
    <w:rsid w:val="00DC73DE"/>
    <w:rsid w:val="00DD5122"/>
    <w:rsid w:val="00DE09EC"/>
    <w:rsid w:val="00DF6D25"/>
    <w:rsid w:val="00E12945"/>
    <w:rsid w:val="00E16421"/>
    <w:rsid w:val="00E2382F"/>
    <w:rsid w:val="00E3041F"/>
    <w:rsid w:val="00E44EC5"/>
    <w:rsid w:val="00E5179E"/>
    <w:rsid w:val="00E55251"/>
    <w:rsid w:val="00E65098"/>
    <w:rsid w:val="00E70942"/>
    <w:rsid w:val="00E750DE"/>
    <w:rsid w:val="00E754F0"/>
    <w:rsid w:val="00E80680"/>
    <w:rsid w:val="00E813EB"/>
    <w:rsid w:val="00E837D6"/>
    <w:rsid w:val="00E859D1"/>
    <w:rsid w:val="00EA1CC4"/>
    <w:rsid w:val="00EA1E5E"/>
    <w:rsid w:val="00EA2106"/>
    <w:rsid w:val="00EB07E1"/>
    <w:rsid w:val="00EB0DA8"/>
    <w:rsid w:val="00EC32FE"/>
    <w:rsid w:val="00EC7259"/>
    <w:rsid w:val="00ED0194"/>
    <w:rsid w:val="00ED47EE"/>
    <w:rsid w:val="00ED48E6"/>
    <w:rsid w:val="00EF6674"/>
    <w:rsid w:val="00F00B5F"/>
    <w:rsid w:val="00F029FE"/>
    <w:rsid w:val="00F20987"/>
    <w:rsid w:val="00F24354"/>
    <w:rsid w:val="00F36690"/>
    <w:rsid w:val="00F55D51"/>
    <w:rsid w:val="00F62707"/>
    <w:rsid w:val="00F63082"/>
    <w:rsid w:val="00F75412"/>
    <w:rsid w:val="00F764F7"/>
    <w:rsid w:val="00F921C0"/>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7389C5"/>
  <w15:chartTrackingRefBased/>
  <w15:docId w15:val="{7E8D281F-C4DC-474F-886D-EFFF1C06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34"/>
    <w:qFormat/>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r.feedback@planning.nsw.gov.au?subject=WHS%20(MPS)%20Laws%20amend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__data/assets/pdf_file/0012/885486/NSW-Govt-Gazette-Exemption-WHS-MPS-Use-of-Cables-in-Hazardous-Zones-3-August-2020.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r.feedback@planning.nsw.gov.au?subject=WHS%20(MPS)%20laws%20amendments" TargetMode="External"/><Relationship Id="rId4" Type="http://schemas.openxmlformats.org/officeDocument/2006/relationships/styles" Target="styles.xml"/><Relationship Id="rId9" Type="http://schemas.openxmlformats.org/officeDocument/2006/relationships/hyperlink" Target="mailto:rr.feedback@planning.nsw.gov.au?subject=WHS%20(MPS)%20Laws%20amendm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796\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0E085EB5-B0C7-4023-BAB2-1FD36E7CA91B}">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1</TotalTime>
  <Pages>8</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Nicholas Shields</cp:lastModifiedBy>
  <cp:revision>2</cp:revision>
  <cp:lastPrinted>2017-12-04T06:06:00Z</cp:lastPrinted>
  <dcterms:created xsi:type="dcterms:W3CDTF">2021-08-05T07:20:00Z</dcterms:created>
  <dcterms:modified xsi:type="dcterms:W3CDTF">2021-08-05T07:20:00Z</dcterms:modified>
</cp:coreProperties>
</file>