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38D5A2F" w14:textId="0859973A" w:rsidR="00334654" w:rsidRDefault="00EC3D71" w:rsidP="009E04B4">
      <w:pPr>
        <w:pStyle w:val="Heading1"/>
        <w:spacing w:after="240"/>
      </w:pPr>
      <w:r>
        <w:rPr>
          <w:i/>
          <w:noProof/>
          <w:sz w:val="18"/>
          <w:szCs w:val="18"/>
        </w:rPr>
        <mc:AlternateContent>
          <mc:Choice Requires="wps">
            <w:drawing>
              <wp:anchor distT="0" distB="0" distL="114300" distR="114300" simplePos="0" relativeHeight="251659264" behindDoc="0" locked="0" layoutInCell="1" allowOverlap="1" wp14:anchorId="14731BE0" wp14:editId="1F01283C">
                <wp:simplePos x="0" y="0"/>
                <wp:positionH relativeFrom="column">
                  <wp:posOffset>5452604</wp:posOffset>
                </wp:positionH>
                <wp:positionV relativeFrom="paragraph">
                  <wp:posOffset>-208574</wp:posOffset>
                </wp:positionV>
                <wp:extent cx="969436" cy="805218"/>
                <wp:effectExtent l="0" t="0" r="21590" b="13970"/>
                <wp:wrapNone/>
                <wp:docPr id="10" name="Text Box 10"/>
                <wp:cNvGraphicFramePr/>
                <a:graphic xmlns:a="http://schemas.openxmlformats.org/drawingml/2006/main">
                  <a:graphicData uri="http://schemas.microsoft.com/office/word/2010/wordprocessingShape">
                    <wps:wsp>
                      <wps:cNvSpPr txBox="1"/>
                      <wps:spPr>
                        <a:xfrm>
                          <a:off x="0" y="0"/>
                          <a:ext cx="969436" cy="805218"/>
                        </a:xfrm>
                        <a:prstGeom prst="rect">
                          <a:avLst/>
                        </a:prstGeom>
                        <a:solidFill>
                          <a:schemeClr val="lt1"/>
                        </a:solidFill>
                        <a:ln w="6350">
                          <a:solidFill>
                            <a:prstClr val="black"/>
                          </a:solidFill>
                        </a:ln>
                      </wps:spPr>
                      <wps:txbx>
                        <w:txbxContent>
                          <w:p w14:paraId="38B5A3BE" w14:textId="37C34D93" w:rsidR="009E04B4" w:rsidRDefault="00D71082" w:rsidP="00A45D78">
                            <w:pPr>
                              <w:jc w:val="center"/>
                            </w:pPr>
                            <w:r>
                              <w:rPr>
                                <w:rFonts w:ascii="Arial" w:hAnsi="Arial" w:cs="Arial"/>
                                <w:sz w:val="96"/>
                                <w:szCs w:val="96"/>
                              </w:rPr>
                              <w:t>2</w:t>
                            </w:r>
                            <w:r w:rsidR="00F32ABB">
                              <w:rPr>
                                <w:rFonts w:ascii="Arial" w:hAnsi="Arial" w:cs="Arial"/>
                                <w:sz w:val="96"/>
                                <w:szCs w:val="96"/>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4731BE0" id="_x0000_t202" coordsize="21600,21600" o:spt="202" path="m,l,21600r21600,l21600,xe">
                <v:stroke joinstyle="miter"/>
                <v:path gradientshapeok="t" o:connecttype="rect"/>
              </v:shapetype>
              <v:shape id="Text Box 10" o:spid="_x0000_s1026" type="#_x0000_t202" style="position:absolute;margin-left:429.35pt;margin-top:-16.4pt;width:76.35pt;height:63.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yO6dNwIAAHsEAAAOAAAAZHJzL2Uyb0RvYy54bWysVE2P2jAQvVfqf7B8LwksUECEFWVFVQnt&#10;rsRWezaOTaI6Htc2JPTXd+yEj932VPXijD3j55k3bzK/bypFjsK6EnRG+72UEqE55KXeZ/T7y/rT&#10;hBLnmc6ZAi0yehKO3i8+fpjXZiYGUIDKhSUIot2sNhktvDezJHG8EBVzPTBCo1OCrZjHrd0nuWU1&#10;olcqGaTpOKnB5sYCF87h6UPrpIuIL6Xg/klKJzxRGcXcfFxtXHdhTRZzNttbZoqSd2mwf8iiYqXG&#10;Ry9QD8wzcrDlH1BVyS04kL7HoUpAypKLWANW00/fVbMtmBGxFiTHmQtN7v/B8sfj1jxb4psv0GAD&#10;AyG1cTOHh6GeRtoqfDFTgn6k8HShTTSecDycjqfDuzElHF2TdDToTwJKcr1srPNfBVQkGBm12JVI&#10;FjtunG9DzyHhLQeqzNelUnETlCBWypIjwx4qH1NE8DdRSpM6o+O7URqB3/gC9OX+TjH+o0vvJgrx&#10;lMacr6UHyze7puNjB/kJabLQKsgZvi4Rd8Ocf2YWJYPM4Bj4J1ykAkwGOouSAuyvv52HeOwkeimp&#10;UYIZdT8PzApK1DeNPZ72h8Og2bgZjj4PcGNvPbtbjz5UK0CG+jhwhkczxHt1NqWF6hWnZRleRRfT&#10;HN/OqD+bK98OBk4bF8tlDEKVGuY3emt4gA4dCXy+NK/Mmq6fHoXwCGexstm7trax4aaG5cGDLGPP&#10;A8Etqx3vqPComm4awwjd7mPU9Z+x+A0AAP//AwBQSwMEFAAGAAgAAAAhAKnSOy/eAAAACwEAAA8A&#10;AABkcnMvZG93bnJldi54bWxMj8FOAyEURfcm/gN5Ju5amFotHedNo6a6cWVtXNOBAnGACdDp+PfS&#10;lS5f3sm95zabyfVkVDHZ4BGqOQOifBek9Rph//k640BSFl6KPniF8KMSbNrrq0bUMpz9hxp3WZMS&#10;4lMtEEzOQ01p6oxyIs3DoHz5HUN0IpczaiqjOJdw19MFYw/UCetLgxGDejGq+96dHML2Wa91x0U0&#10;Wy6tHaev47t+Q7y9mZ4egWQ15T8YLvpFHdridAgnLxPpEfg9XxUUYXa3KBsuBKuqJZADwnrJgLYN&#10;/b+h/QUAAP//AwBQSwECLQAUAAYACAAAACEAtoM4kv4AAADhAQAAEwAAAAAAAAAAAAAAAAAAAAAA&#10;W0NvbnRlbnRfVHlwZXNdLnhtbFBLAQItABQABgAIAAAAIQA4/SH/1gAAAJQBAAALAAAAAAAAAAAA&#10;AAAAAC8BAABfcmVscy8ucmVsc1BLAQItABQABgAIAAAAIQBtyO6dNwIAAHsEAAAOAAAAAAAAAAAA&#10;AAAAAC4CAABkcnMvZTJvRG9jLnhtbFBLAQItABQABgAIAAAAIQCp0jsv3gAAAAsBAAAPAAAAAAAA&#10;AAAAAAAAAJEEAABkcnMvZG93bnJldi54bWxQSwUGAAAAAAQABADzAAAAnAUAAAAA&#10;" fillcolor="white [3201]" strokeweight=".5pt">
                <v:textbox>
                  <w:txbxContent>
                    <w:p w14:paraId="38B5A3BE" w14:textId="37C34D93" w:rsidR="009E04B4" w:rsidRDefault="00D71082" w:rsidP="00A45D78">
                      <w:pPr>
                        <w:jc w:val="center"/>
                      </w:pPr>
                      <w:r>
                        <w:rPr>
                          <w:rFonts w:ascii="Arial" w:hAnsi="Arial" w:cs="Arial"/>
                          <w:sz w:val="96"/>
                          <w:szCs w:val="96"/>
                        </w:rPr>
                        <w:t>2</w:t>
                      </w:r>
                      <w:r w:rsidR="00F32ABB">
                        <w:rPr>
                          <w:rFonts w:ascii="Arial" w:hAnsi="Arial" w:cs="Arial"/>
                          <w:sz w:val="96"/>
                          <w:szCs w:val="96"/>
                        </w:rPr>
                        <w:t>1</w:t>
                      </w:r>
                    </w:p>
                  </w:txbxContent>
                </v:textbox>
              </v:shape>
            </w:pict>
          </mc:Fallback>
        </mc:AlternateContent>
      </w:r>
      <w:r w:rsidR="00F32ABB">
        <w:t xml:space="preserve">Audit </w:t>
      </w:r>
      <w:r w:rsidR="00B656A0">
        <w:t xml:space="preserve">and </w:t>
      </w:r>
      <w:r w:rsidR="00F32ABB">
        <w:t>review</w:t>
      </w:r>
    </w:p>
    <w:p w14:paraId="1C0B3EE0" w14:textId="6D4157F0" w:rsidR="006F5638" w:rsidRDefault="006F5638" w:rsidP="009E04B4">
      <w:pPr>
        <w:pStyle w:val="BodyText"/>
      </w:pPr>
      <w:r w:rsidRPr="006F5638">
        <w:t>SMS audits and reviews are used to assess the mining operations compliance with and implementation of the key safety management systems components</w:t>
      </w:r>
      <w:r>
        <w:t>. These</w:t>
      </w:r>
      <w:r w:rsidRPr="006F5638">
        <w:t xml:space="preserve"> includ</w:t>
      </w:r>
      <w:r>
        <w:t>e</w:t>
      </w:r>
      <w:r w:rsidRPr="006F5638">
        <w:t xml:space="preserve"> the mines risk assessments, management plans, control plans, SWMS and procedures</w:t>
      </w:r>
      <w:r>
        <w:t>. These audits and reviews will also look at the level of compliance with the relevant Health and safety legislation.</w:t>
      </w:r>
    </w:p>
    <w:p w14:paraId="037B207B" w14:textId="0F49C4B0" w:rsidR="00334654" w:rsidRPr="00390AD1" w:rsidRDefault="00334654" w:rsidP="009E04B4">
      <w:pPr>
        <w:pStyle w:val="BodyText"/>
        <w:rPr>
          <w:b/>
        </w:rPr>
      </w:pPr>
      <w:r w:rsidRPr="00390AD1">
        <w:rPr>
          <w:b/>
        </w:rPr>
        <w:t>The attached template is in Word format for you to customise for your site.</w:t>
      </w:r>
    </w:p>
    <w:p w14:paraId="2599CB74" w14:textId="77777777" w:rsidR="00334654" w:rsidRPr="00EC3D71" w:rsidRDefault="00334654" w:rsidP="00A45D78">
      <w:pPr>
        <w:pStyle w:val="Numberedlist"/>
        <w:spacing w:line="276" w:lineRule="auto"/>
      </w:pPr>
      <w:r w:rsidRPr="00A45D78">
        <w:rPr>
          <w:b/>
        </w:rPr>
        <w:t xml:space="preserve">AIM: </w:t>
      </w:r>
      <w:r w:rsidR="00EC3D71">
        <w:t>You may use the standard aim statement provided in the template or edit it to suit your operation’s needs.</w:t>
      </w:r>
      <w:r w:rsidRPr="00EC3D71">
        <w:t xml:space="preserve"> </w:t>
      </w:r>
    </w:p>
    <w:p w14:paraId="0B558734" w14:textId="7A083835" w:rsidR="00D83388" w:rsidRDefault="00334654" w:rsidP="00D83388">
      <w:pPr>
        <w:pStyle w:val="Numberedlist"/>
      </w:pPr>
      <w:r w:rsidRPr="00A45D78">
        <w:rPr>
          <w:b/>
        </w:rPr>
        <w:t>WHAT:</w:t>
      </w:r>
      <w:r w:rsidRPr="00EC3D71">
        <w:t xml:space="preserve"> </w:t>
      </w:r>
      <w:r w:rsidR="00D83388">
        <w:t xml:space="preserve">The audit and review program documents when and how the safety management system (SMS) and its associated </w:t>
      </w:r>
      <w:r w:rsidR="00B656A0">
        <w:t>safe working method statements (</w:t>
      </w:r>
      <w:r w:rsidR="00D83388">
        <w:t>SWMS</w:t>
      </w:r>
      <w:r w:rsidR="00B656A0">
        <w:t>)</w:t>
      </w:r>
      <w:r w:rsidR="00D83388">
        <w:t>, procedures and control plans will be reviewed to ensure that they remain consistent with the necessary controls to manage the hazards at our operation. It also provides guidance on how this will happen and what documentation will be used to conduct the review.</w:t>
      </w:r>
    </w:p>
    <w:p w14:paraId="181EE088" w14:textId="7226AF2F" w:rsidR="00334654" w:rsidRPr="00EC3D71" w:rsidRDefault="00D83388" w:rsidP="00D83388">
      <w:pPr>
        <w:pStyle w:val="Numberedlist"/>
        <w:numPr>
          <w:ilvl w:val="0"/>
          <w:numId w:val="0"/>
        </w:numPr>
        <w:ind w:left="425"/>
      </w:pPr>
      <w:r>
        <w:t xml:space="preserve">Nominate who will be responsible for determining when a </w:t>
      </w:r>
      <w:r w:rsidR="00B656A0">
        <w:t>subject matter</w:t>
      </w:r>
      <w:r>
        <w:t xml:space="preserve"> expert is required to assist with the review of a section.</w:t>
      </w:r>
    </w:p>
    <w:p w14:paraId="73988E81" w14:textId="42D1B580" w:rsidR="00D83388" w:rsidRPr="00EC3D71" w:rsidRDefault="00334654" w:rsidP="00D83388">
      <w:pPr>
        <w:pStyle w:val="Numberedlist"/>
      </w:pPr>
      <w:r w:rsidRPr="00A45D78">
        <w:rPr>
          <w:b/>
        </w:rPr>
        <w:t>WHO:</w:t>
      </w:r>
      <w:r w:rsidRPr="00D83388">
        <w:t xml:space="preserve"> </w:t>
      </w:r>
      <w:r w:rsidR="00D83388" w:rsidRPr="00D83388">
        <w:t>Nominate who will be responsible for ensuring that the audits and reviews are conducted as per the schedule set out in Program 1.</w:t>
      </w:r>
    </w:p>
    <w:p w14:paraId="0BFE6B00" w14:textId="77777777" w:rsidR="005241C3" w:rsidRPr="00DA04EE" w:rsidRDefault="005241C3" w:rsidP="005241C3">
      <w:pPr>
        <w:pStyle w:val="Numberedlist"/>
      </w:pPr>
      <w:r w:rsidRPr="00A45D78">
        <w:rPr>
          <w:b/>
        </w:rPr>
        <w:t xml:space="preserve">HOW: </w:t>
      </w:r>
      <w:r w:rsidRPr="00DA04EE">
        <w:t>You may adopt the su</w:t>
      </w:r>
      <w:r>
        <w:t>ggested methods for review and audit or modify it to your suit your needs.</w:t>
      </w:r>
    </w:p>
    <w:p w14:paraId="3A5B90E7" w14:textId="2A6FDD4F" w:rsidR="005241C3" w:rsidRPr="00914241" w:rsidRDefault="005241C3" w:rsidP="005241C3">
      <w:pPr>
        <w:pStyle w:val="Numberedlist"/>
        <w:spacing w:line="276" w:lineRule="auto"/>
      </w:pPr>
      <w:r w:rsidRPr="00A45D78">
        <w:rPr>
          <w:b/>
        </w:rPr>
        <w:t>WHEN:</w:t>
      </w:r>
      <w:r w:rsidRPr="009E04B4">
        <w:t xml:space="preserve"> </w:t>
      </w:r>
      <w:r w:rsidRPr="00DA04EE">
        <w:t>You may adopt the su</w:t>
      </w:r>
      <w:r>
        <w:t>ggested methods and review periods or modify them to suit your needs.</w:t>
      </w:r>
    </w:p>
    <w:p w14:paraId="5037F56A" w14:textId="5B67C4F5" w:rsidR="00334654" w:rsidRPr="009E04B4" w:rsidRDefault="00914241" w:rsidP="00D83388">
      <w:pPr>
        <w:pStyle w:val="Numberedlist"/>
      </w:pPr>
      <w:r w:rsidRPr="00A45D78">
        <w:rPr>
          <w:b/>
        </w:rPr>
        <w:t>ACTION:</w:t>
      </w:r>
      <w:r w:rsidRPr="00D83388">
        <w:t xml:space="preserve"> </w:t>
      </w:r>
      <w:r w:rsidR="00D83388" w:rsidRPr="00D83388">
        <w:t>Nominate who will be the approver of all new and revised documentation.</w:t>
      </w:r>
    </w:p>
    <w:p w14:paraId="0DCEC19F" w14:textId="77777777" w:rsidR="00334654" w:rsidRDefault="00914241" w:rsidP="00D71082">
      <w:pPr>
        <w:pStyle w:val="Numberedlist"/>
      </w:pPr>
      <w:r w:rsidRPr="00A45D78">
        <w:rPr>
          <w:b/>
        </w:rPr>
        <w:t xml:space="preserve">DOCUMENT CONTROL: </w:t>
      </w:r>
      <w:r w:rsidR="00D71082" w:rsidRPr="00D71082">
        <w:t xml:space="preserve">Record any documents used in this program on the </w:t>
      </w:r>
      <w:r w:rsidR="00D71082">
        <w:t>document control master list</w:t>
      </w:r>
      <w:r w:rsidR="00D71082" w:rsidRPr="00D71082">
        <w:t xml:space="preserve"> (Form 3A) and the location that it will be filed.</w:t>
      </w:r>
    </w:p>
    <w:p w14:paraId="4FE6A9A2" w14:textId="77777777" w:rsidR="009C62DE" w:rsidRDefault="009C62DE" w:rsidP="009C62DE">
      <w:pPr>
        <w:pStyle w:val="Heading2"/>
        <w:rPr>
          <w:lang w:val="en-US"/>
        </w:rPr>
      </w:pPr>
      <w:r>
        <w:rPr>
          <w:lang w:val="en-US"/>
        </w:rPr>
        <w:t xml:space="preserve">References: </w:t>
      </w:r>
    </w:p>
    <w:p w14:paraId="679F2288" w14:textId="492E6B0B" w:rsidR="00E5425B" w:rsidRDefault="00E5425B" w:rsidP="00E5425B">
      <w:pPr>
        <w:spacing w:before="120" w:after="120" w:line="276" w:lineRule="auto"/>
        <w:rPr>
          <w:rFonts w:ascii="Arial" w:hAnsi="Arial"/>
          <w:sz w:val="22"/>
          <w:lang w:val="en-US"/>
        </w:rPr>
      </w:pPr>
      <w:r>
        <w:rPr>
          <w:rFonts w:ascii="Arial" w:hAnsi="Arial"/>
          <w:sz w:val="22"/>
          <w:lang w:val="en-US"/>
        </w:rPr>
        <w:t xml:space="preserve">(NSW) </w:t>
      </w:r>
      <w:r w:rsidRPr="00E5425B">
        <w:rPr>
          <w:rFonts w:ascii="Arial" w:hAnsi="Arial"/>
          <w:sz w:val="22"/>
          <w:lang w:val="en-US"/>
        </w:rPr>
        <w:t>Work Health and Safety Regulation 2017</w:t>
      </w:r>
      <w:r>
        <w:rPr>
          <w:rFonts w:ascii="Arial" w:hAnsi="Arial"/>
          <w:sz w:val="22"/>
          <w:lang w:val="en-US"/>
        </w:rPr>
        <w:t xml:space="preserve"> clause </w:t>
      </w:r>
      <w:r w:rsidRPr="00E5425B">
        <w:rPr>
          <w:rFonts w:ascii="Arial" w:hAnsi="Arial"/>
          <w:sz w:val="22"/>
          <w:lang w:val="en-US"/>
        </w:rPr>
        <w:t>38</w:t>
      </w:r>
      <w:r>
        <w:rPr>
          <w:rFonts w:ascii="Arial" w:hAnsi="Arial"/>
          <w:sz w:val="22"/>
          <w:lang w:val="en-US"/>
        </w:rPr>
        <w:t xml:space="preserve"> </w:t>
      </w:r>
      <w:r w:rsidRPr="00E5425B">
        <w:rPr>
          <w:rFonts w:ascii="Arial" w:hAnsi="Arial"/>
          <w:sz w:val="22"/>
          <w:lang w:val="en-US"/>
        </w:rPr>
        <w:t>Review of control measures</w:t>
      </w:r>
    </w:p>
    <w:p w14:paraId="265D022C" w14:textId="228E8523" w:rsidR="00E5425B" w:rsidRDefault="00E5425B" w:rsidP="00E5425B">
      <w:pPr>
        <w:spacing w:before="120" w:after="120" w:line="276" w:lineRule="auto"/>
        <w:rPr>
          <w:rFonts w:ascii="Arial" w:hAnsi="Arial"/>
          <w:sz w:val="22"/>
          <w:lang w:val="en-US"/>
        </w:rPr>
      </w:pPr>
      <w:r>
        <w:rPr>
          <w:rFonts w:ascii="Arial" w:hAnsi="Arial"/>
          <w:sz w:val="22"/>
          <w:lang w:val="en-US"/>
        </w:rPr>
        <w:t xml:space="preserve">(NSW) </w:t>
      </w:r>
      <w:r w:rsidRPr="00E5425B">
        <w:rPr>
          <w:rFonts w:ascii="Arial" w:hAnsi="Arial"/>
          <w:sz w:val="22"/>
          <w:lang w:val="en-US"/>
        </w:rPr>
        <w:t>Work Health and Safety Regulation 2017</w:t>
      </w:r>
      <w:r>
        <w:rPr>
          <w:rFonts w:ascii="Arial" w:hAnsi="Arial"/>
          <w:sz w:val="22"/>
          <w:lang w:val="en-US"/>
        </w:rPr>
        <w:t xml:space="preserve"> Chapter 7 Hazardous chemicals clause </w:t>
      </w:r>
      <w:r w:rsidRPr="00E5425B">
        <w:rPr>
          <w:rFonts w:ascii="Arial" w:hAnsi="Arial"/>
          <w:sz w:val="22"/>
          <w:lang w:val="en-US"/>
        </w:rPr>
        <w:t>352 Review of control measures</w:t>
      </w:r>
    </w:p>
    <w:p w14:paraId="311ACF46" w14:textId="4F40D49F" w:rsidR="00E5425B" w:rsidRDefault="00E5425B" w:rsidP="00E5425B">
      <w:pPr>
        <w:spacing w:before="120" w:after="120" w:line="276" w:lineRule="auto"/>
        <w:rPr>
          <w:rFonts w:ascii="Arial" w:hAnsi="Arial"/>
          <w:sz w:val="22"/>
          <w:lang w:val="en-US"/>
        </w:rPr>
      </w:pPr>
      <w:r>
        <w:rPr>
          <w:rFonts w:ascii="Arial" w:hAnsi="Arial"/>
          <w:sz w:val="22"/>
          <w:lang w:val="en-US"/>
        </w:rPr>
        <w:t xml:space="preserve">(NSW) </w:t>
      </w:r>
      <w:r w:rsidRPr="00E5425B">
        <w:rPr>
          <w:rFonts w:ascii="Arial" w:hAnsi="Arial"/>
          <w:sz w:val="22"/>
          <w:lang w:val="en-US"/>
        </w:rPr>
        <w:t>Work Health and Safety Regulation 2017</w:t>
      </w:r>
      <w:r>
        <w:rPr>
          <w:rFonts w:ascii="Arial" w:hAnsi="Arial"/>
          <w:sz w:val="22"/>
          <w:lang w:val="en-US"/>
        </w:rPr>
        <w:t xml:space="preserve"> clause </w:t>
      </w:r>
      <w:r w:rsidRPr="00E5425B">
        <w:rPr>
          <w:rFonts w:ascii="Arial" w:hAnsi="Arial"/>
          <w:sz w:val="22"/>
          <w:lang w:val="en-US"/>
        </w:rPr>
        <w:t>43</w:t>
      </w:r>
      <w:r>
        <w:rPr>
          <w:rFonts w:ascii="Arial" w:hAnsi="Arial"/>
          <w:sz w:val="22"/>
          <w:lang w:val="en-US"/>
        </w:rPr>
        <w:t xml:space="preserve">3 </w:t>
      </w:r>
      <w:r w:rsidRPr="00E5425B">
        <w:rPr>
          <w:rFonts w:ascii="Arial" w:hAnsi="Arial"/>
          <w:sz w:val="22"/>
          <w:lang w:val="en-US"/>
        </w:rPr>
        <w:t>Review of asbestos management plan</w:t>
      </w:r>
    </w:p>
    <w:p w14:paraId="4A5E7BFF" w14:textId="4EA33E70" w:rsidR="00F1318D" w:rsidRDefault="00F1318D" w:rsidP="00F1318D">
      <w:pPr>
        <w:spacing w:before="120" w:after="120" w:line="276" w:lineRule="auto"/>
        <w:rPr>
          <w:rFonts w:ascii="Arial" w:hAnsi="Arial"/>
          <w:sz w:val="22"/>
          <w:lang w:val="en-US"/>
        </w:rPr>
      </w:pPr>
      <w:r w:rsidRPr="00F1318D">
        <w:rPr>
          <w:rFonts w:ascii="Arial" w:hAnsi="Arial"/>
          <w:sz w:val="22"/>
          <w:lang w:val="en-US"/>
        </w:rPr>
        <w:t>(NSW) Mine Work Health &amp; Safety (Mines &amp; Petroleum Sites) Regulation 20</w:t>
      </w:r>
      <w:r w:rsidR="004F7E00">
        <w:rPr>
          <w:rFonts w:ascii="Arial" w:hAnsi="Arial"/>
          <w:sz w:val="22"/>
          <w:lang w:val="en-US"/>
        </w:rPr>
        <w:t>22</w:t>
      </w:r>
      <w:r w:rsidRPr="00F1318D">
        <w:rPr>
          <w:rFonts w:ascii="Arial" w:hAnsi="Arial"/>
          <w:sz w:val="22"/>
          <w:lang w:val="en-US"/>
        </w:rPr>
        <w:t xml:space="preserve"> </w:t>
      </w:r>
      <w:r w:rsidR="004F7E00">
        <w:rPr>
          <w:rFonts w:ascii="Arial" w:hAnsi="Arial"/>
          <w:sz w:val="22"/>
          <w:lang w:val="en-US"/>
        </w:rPr>
        <w:t xml:space="preserve">section </w:t>
      </w:r>
      <w:r w:rsidR="006F41A2" w:rsidRPr="006F41A2">
        <w:rPr>
          <w:rFonts w:ascii="Arial" w:hAnsi="Arial"/>
          <w:sz w:val="22"/>
          <w:lang w:val="en-US"/>
        </w:rPr>
        <w:t>15 Review of control measures</w:t>
      </w:r>
    </w:p>
    <w:p w14:paraId="0B57BCFE" w14:textId="165D994B" w:rsidR="006F41A2" w:rsidRDefault="006F41A2" w:rsidP="006F41A2">
      <w:pPr>
        <w:spacing w:before="120" w:after="120" w:line="276" w:lineRule="auto"/>
        <w:rPr>
          <w:rFonts w:ascii="Arial" w:hAnsi="Arial"/>
          <w:sz w:val="22"/>
          <w:lang w:val="en-US"/>
        </w:rPr>
      </w:pPr>
      <w:r w:rsidRPr="00F1318D">
        <w:rPr>
          <w:rFonts w:ascii="Arial" w:hAnsi="Arial"/>
          <w:sz w:val="22"/>
          <w:lang w:val="en-US"/>
        </w:rPr>
        <w:t>(NSW) Mine Work Health &amp; Safety (Mines &amp; Petroleum Sites) Regulation 20</w:t>
      </w:r>
      <w:r>
        <w:rPr>
          <w:rFonts w:ascii="Arial" w:hAnsi="Arial"/>
          <w:sz w:val="22"/>
          <w:lang w:val="en-US"/>
        </w:rPr>
        <w:t>22</w:t>
      </w:r>
      <w:r w:rsidRPr="00F1318D">
        <w:rPr>
          <w:rFonts w:ascii="Arial" w:hAnsi="Arial"/>
          <w:sz w:val="22"/>
          <w:lang w:val="en-US"/>
        </w:rPr>
        <w:t xml:space="preserve"> </w:t>
      </w:r>
      <w:r>
        <w:rPr>
          <w:rFonts w:ascii="Arial" w:hAnsi="Arial"/>
          <w:sz w:val="22"/>
          <w:lang w:val="en-US"/>
        </w:rPr>
        <w:t xml:space="preserve">section </w:t>
      </w:r>
      <w:r w:rsidRPr="006F41A2">
        <w:rPr>
          <w:rFonts w:ascii="Arial" w:hAnsi="Arial"/>
          <w:sz w:val="22"/>
          <w:lang w:val="en-US"/>
        </w:rPr>
        <w:t>20</w:t>
      </w:r>
      <w:r>
        <w:rPr>
          <w:rFonts w:ascii="Arial" w:hAnsi="Arial"/>
          <w:sz w:val="22"/>
          <w:lang w:val="en-US"/>
        </w:rPr>
        <w:t xml:space="preserve"> </w:t>
      </w:r>
      <w:r w:rsidRPr="006F41A2">
        <w:rPr>
          <w:rFonts w:ascii="Arial" w:hAnsi="Arial"/>
          <w:sz w:val="22"/>
          <w:lang w:val="en-US"/>
        </w:rPr>
        <w:t>Performance standards and audit</w:t>
      </w:r>
    </w:p>
    <w:p w14:paraId="46FE2BBA" w14:textId="1019F7F1" w:rsidR="006F41A2" w:rsidRDefault="006F41A2" w:rsidP="006F41A2">
      <w:pPr>
        <w:spacing w:before="120" w:after="120" w:line="276" w:lineRule="auto"/>
        <w:rPr>
          <w:rFonts w:ascii="Arial" w:hAnsi="Arial"/>
          <w:sz w:val="22"/>
          <w:lang w:val="en-US"/>
        </w:rPr>
      </w:pPr>
      <w:r w:rsidRPr="00F1318D">
        <w:rPr>
          <w:rFonts w:ascii="Arial" w:hAnsi="Arial"/>
          <w:sz w:val="22"/>
          <w:lang w:val="en-US"/>
        </w:rPr>
        <w:lastRenderedPageBreak/>
        <w:t>(NSW) Mine Work Health &amp; Safety (Mines &amp; Petroleum Sites) Regulation 20</w:t>
      </w:r>
      <w:r>
        <w:rPr>
          <w:rFonts w:ascii="Arial" w:hAnsi="Arial"/>
          <w:sz w:val="22"/>
          <w:lang w:val="en-US"/>
        </w:rPr>
        <w:t>22</w:t>
      </w:r>
      <w:r w:rsidRPr="00F1318D">
        <w:rPr>
          <w:rFonts w:ascii="Arial" w:hAnsi="Arial"/>
          <w:sz w:val="22"/>
          <w:lang w:val="en-US"/>
        </w:rPr>
        <w:t xml:space="preserve"> </w:t>
      </w:r>
      <w:r>
        <w:rPr>
          <w:rFonts w:ascii="Arial" w:hAnsi="Arial"/>
          <w:sz w:val="22"/>
          <w:lang w:val="en-US"/>
        </w:rPr>
        <w:t xml:space="preserve">section </w:t>
      </w:r>
      <w:r w:rsidRPr="006F41A2">
        <w:rPr>
          <w:rFonts w:ascii="Arial" w:hAnsi="Arial"/>
          <w:sz w:val="22"/>
          <w:lang w:val="en-US"/>
        </w:rPr>
        <w:t>2</w:t>
      </w:r>
      <w:r>
        <w:rPr>
          <w:rFonts w:ascii="Arial" w:hAnsi="Arial"/>
          <w:sz w:val="22"/>
          <w:lang w:val="en-US"/>
        </w:rPr>
        <w:t xml:space="preserve">1 </w:t>
      </w:r>
      <w:r w:rsidRPr="006F41A2">
        <w:rPr>
          <w:rFonts w:ascii="Arial" w:hAnsi="Arial"/>
          <w:sz w:val="22"/>
          <w:lang w:val="en-US"/>
        </w:rPr>
        <w:t>Maintenance of safety management system</w:t>
      </w:r>
    </w:p>
    <w:p w14:paraId="1FE05EA1" w14:textId="56C1AB96" w:rsidR="006F41A2" w:rsidRDefault="006F41A2" w:rsidP="006F41A2">
      <w:pPr>
        <w:spacing w:before="120" w:after="120" w:line="276" w:lineRule="auto"/>
        <w:rPr>
          <w:rFonts w:ascii="Arial" w:hAnsi="Arial"/>
          <w:sz w:val="22"/>
          <w:lang w:val="en-US"/>
        </w:rPr>
      </w:pPr>
      <w:r w:rsidRPr="00F1318D">
        <w:rPr>
          <w:rFonts w:ascii="Arial" w:hAnsi="Arial"/>
          <w:sz w:val="22"/>
          <w:lang w:val="en-US"/>
        </w:rPr>
        <w:t>(NSW) Mine Work Health &amp; Safety (Mines &amp; Petroleum Sites) Regulation 20</w:t>
      </w:r>
      <w:r>
        <w:rPr>
          <w:rFonts w:ascii="Arial" w:hAnsi="Arial"/>
          <w:sz w:val="22"/>
          <w:lang w:val="en-US"/>
        </w:rPr>
        <w:t>22</w:t>
      </w:r>
      <w:r w:rsidRPr="00F1318D">
        <w:rPr>
          <w:rFonts w:ascii="Arial" w:hAnsi="Arial"/>
          <w:sz w:val="22"/>
          <w:lang w:val="en-US"/>
        </w:rPr>
        <w:t xml:space="preserve"> </w:t>
      </w:r>
      <w:r>
        <w:rPr>
          <w:rFonts w:ascii="Arial" w:hAnsi="Arial"/>
          <w:sz w:val="22"/>
          <w:lang w:val="en-US"/>
        </w:rPr>
        <w:t xml:space="preserve">section </w:t>
      </w:r>
      <w:r w:rsidRPr="006F41A2">
        <w:rPr>
          <w:rFonts w:ascii="Arial" w:hAnsi="Arial"/>
          <w:sz w:val="22"/>
          <w:lang w:val="en-US"/>
        </w:rPr>
        <w:t>22</w:t>
      </w:r>
      <w:r>
        <w:rPr>
          <w:rFonts w:ascii="Arial" w:hAnsi="Arial"/>
          <w:sz w:val="22"/>
          <w:lang w:val="en-US"/>
        </w:rPr>
        <w:t xml:space="preserve"> </w:t>
      </w:r>
      <w:r w:rsidRPr="006F41A2">
        <w:rPr>
          <w:rFonts w:ascii="Arial" w:hAnsi="Arial"/>
          <w:sz w:val="22"/>
          <w:lang w:val="en-US"/>
        </w:rPr>
        <w:t>Review of safety management system</w:t>
      </w:r>
    </w:p>
    <w:p w14:paraId="637BD823" w14:textId="205EB99C" w:rsidR="006F41A2" w:rsidRDefault="006F41A2" w:rsidP="006F41A2">
      <w:pPr>
        <w:spacing w:before="120" w:after="120" w:line="276" w:lineRule="auto"/>
        <w:rPr>
          <w:rFonts w:ascii="Arial" w:hAnsi="Arial"/>
          <w:sz w:val="22"/>
          <w:lang w:val="en-US"/>
        </w:rPr>
      </w:pPr>
      <w:r w:rsidRPr="00F1318D">
        <w:rPr>
          <w:rFonts w:ascii="Arial" w:hAnsi="Arial"/>
          <w:sz w:val="22"/>
          <w:lang w:val="en-US"/>
        </w:rPr>
        <w:t>(NSW) Mine Work Health &amp; Safety (Mines &amp; Petroleum Sites) Regulation 20</w:t>
      </w:r>
      <w:r>
        <w:rPr>
          <w:rFonts w:ascii="Arial" w:hAnsi="Arial"/>
          <w:sz w:val="22"/>
          <w:lang w:val="en-US"/>
        </w:rPr>
        <w:t>22</w:t>
      </w:r>
      <w:r w:rsidRPr="00F1318D">
        <w:rPr>
          <w:rFonts w:ascii="Arial" w:hAnsi="Arial"/>
          <w:sz w:val="22"/>
          <w:lang w:val="en-US"/>
        </w:rPr>
        <w:t xml:space="preserve"> </w:t>
      </w:r>
      <w:r>
        <w:rPr>
          <w:rFonts w:ascii="Arial" w:hAnsi="Arial"/>
          <w:sz w:val="22"/>
          <w:lang w:val="en-US"/>
        </w:rPr>
        <w:t xml:space="preserve">section </w:t>
      </w:r>
      <w:r w:rsidRPr="006F41A2">
        <w:rPr>
          <w:rFonts w:ascii="Arial" w:hAnsi="Arial"/>
          <w:sz w:val="22"/>
          <w:lang w:val="en-US"/>
        </w:rPr>
        <w:t>29</w:t>
      </w:r>
      <w:r>
        <w:rPr>
          <w:rFonts w:ascii="Arial" w:hAnsi="Arial"/>
          <w:sz w:val="22"/>
          <w:lang w:val="en-US"/>
        </w:rPr>
        <w:t xml:space="preserve"> </w:t>
      </w:r>
      <w:r w:rsidRPr="006F41A2">
        <w:rPr>
          <w:rFonts w:ascii="Arial" w:hAnsi="Arial"/>
          <w:sz w:val="22"/>
          <w:lang w:val="en-US"/>
        </w:rPr>
        <w:t>Review of principal hazard management plan</w:t>
      </w:r>
    </w:p>
    <w:p w14:paraId="320029A4" w14:textId="12DAABB9" w:rsidR="006F41A2" w:rsidRDefault="006F41A2" w:rsidP="006F41A2">
      <w:pPr>
        <w:spacing w:before="120" w:after="120" w:line="276" w:lineRule="auto"/>
        <w:rPr>
          <w:rFonts w:ascii="Arial" w:hAnsi="Arial"/>
          <w:sz w:val="22"/>
          <w:lang w:val="en-US"/>
        </w:rPr>
      </w:pPr>
      <w:r w:rsidRPr="00F1318D">
        <w:rPr>
          <w:rFonts w:ascii="Arial" w:hAnsi="Arial"/>
          <w:sz w:val="22"/>
          <w:lang w:val="en-US"/>
        </w:rPr>
        <w:t>(NSW) Mine Work Health &amp; Safety (Mines &amp; Petroleum Sites) Regulation 20</w:t>
      </w:r>
      <w:r>
        <w:rPr>
          <w:rFonts w:ascii="Arial" w:hAnsi="Arial"/>
          <w:sz w:val="22"/>
          <w:lang w:val="en-US"/>
        </w:rPr>
        <w:t>22</w:t>
      </w:r>
      <w:r w:rsidRPr="00F1318D">
        <w:rPr>
          <w:rFonts w:ascii="Arial" w:hAnsi="Arial"/>
          <w:sz w:val="22"/>
          <w:lang w:val="en-US"/>
        </w:rPr>
        <w:t xml:space="preserve"> </w:t>
      </w:r>
      <w:r>
        <w:rPr>
          <w:rFonts w:ascii="Arial" w:hAnsi="Arial"/>
          <w:sz w:val="22"/>
          <w:lang w:val="en-US"/>
        </w:rPr>
        <w:t xml:space="preserve">section </w:t>
      </w:r>
      <w:r w:rsidRPr="006F41A2">
        <w:rPr>
          <w:rFonts w:ascii="Arial" w:hAnsi="Arial"/>
          <w:sz w:val="22"/>
          <w:lang w:val="en-US"/>
        </w:rPr>
        <w:t>39</w:t>
      </w:r>
      <w:r>
        <w:rPr>
          <w:rFonts w:ascii="Arial" w:hAnsi="Arial"/>
          <w:sz w:val="22"/>
          <w:lang w:val="en-US"/>
        </w:rPr>
        <w:t xml:space="preserve"> </w:t>
      </w:r>
      <w:r w:rsidRPr="006F41A2">
        <w:rPr>
          <w:rFonts w:ascii="Arial" w:hAnsi="Arial"/>
          <w:sz w:val="22"/>
          <w:lang w:val="en-US"/>
        </w:rPr>
        <w:t>Inspections</w:t>
      </w:r>
    </w:p>
    <w:p w14:paraId="66883475" w14:textId="6514F014" w:rsidR="006F41A2" w:rsidRDefault="006F41A2" w:rsidP="006F41A2">
      <w:pPr>
        <w:spacing w:before="120" w:after="120" w:line="276" w:lineRule="auto"/>
        <w:rPr>
          <w:rFonts w:ascii="Arial" w:hAnsi="Arial"/>
          <w:sz w:val="22"/>
          <w:lang w:val="en-US"/>
        </w:rPr>
      </w:pPr>
      <w:r w:rsidRPr="00F1318D">
        <w:rPr>
          <w:rFonts w:ascii="Arial" w:hAnsi="Arial"/>
          <w:sz w:val="22"/>
          <w:lang w:val="en-US"/>
        </w:rPr>
        <w:t>(NSW) Mine Work Health &amp; Safety (Mines &amp; Petroleum Sites) Regulation 20</w:t>
      </w:r>
      <w:r>
        <w:rPr>
          <w:rFonts w:ascii="Arial" w:hAnsi="Arial"/>
          <w:sz w:val="22"/>
          <w:lang w:val="en-US"/>
        </w:rPr>
        <w:t>22</w:t>
      </w:r>
      <w:r w:rsidRPr="00F1318D">
        <w:rPr>
          <w:rFonts w:ascii="Arial" w:hAnsi="Arial"/>
          <w:sz w:val="22"/>
          <w:lang w:val="en-US"/>
        </w:rPr>
        <w:t xml:space="preserve"> </w:t>
      </w:r>
      <w:r>
        <w:rPr>
          <w:rFonts w:ascii="Arial" w:hAnsi="Arial"/>
          <w:sz w:val="22"/>
          <w:lang w:val="en-US"/>
        </w:rPr>
        <w:t xml:space="preserve">section </w:t>
      </w:r>
      <w:r w:rsidRPr="006F41A2">
        <w:rPr>
          <w:rFonts w:ascii="Arial" w:hAnsi="Arial"/>
          <w:sz w:val="22"/>
          <w:lang w:val="en-US"/>
        </w:rPr>
        <w:t>96</w:t>
      </w:r>
      <w:r>
        <w:rPr>
          <w:rFonts w:ascii="Arial" w:hAnsi="Arial"/>
          <w:sz w:val="22"/>
          <w:lang w:val="en-US"/>
        </w:rPr>
        <w:t xml:space="preserve"> </w:t>
      </w:r>
      <w:r w:rsidRPr="006F41A2">
        <w:rPr>
          <w:rFonts w:ascii="Arial" w:hAnsi="Arial"/>
          <w:sz w:val="22"/>
          <w:lang w:val="en-US"/>
        </w:rPr>
        <w:t>Testing of emergency plan</w:t>
      </w:r>
    </w:p>
    <w:p w14:paraId="12515003" w14:textId="6A420DAB" w:rsidR="006F41A2" w:rsidRDefault="006F41A2" w:rsidP="006F41A2">
      <w:pPr>
        <w:spacing w:before="120" w:after="120" w:line="276" w:lineRule="auto"/>
        <w:rPr>
          <w:rFonts w:ascii="Arial" w:hAnsi="Arial"/>
          <w:sz w:val="22"/>
          <w:lang w:val="en-US"/>
        </w:rPr>
      </w:pPr>
      <w:r w:rsidRPr="00F1318D">
        <w:rPr>
          <w:rFonts w:ascii="Arial" w:hAnsi="Arial"/>
          <w:sz w:val="22"/>
          <w:lang w:val="en-US"/>
        </w:rPr>
        <w:t>(NSW) Mine Work Health &amp; Safety (Mines &amp; Petroleum Sites) Regulation 20</w:t>
      </w:r>
      <w:r>
        <w:rPr>
          <w:rFonts w:ascii="Arial" w:hAnsi="Arial"/>
          <w:sz w:val="22"/>
          <w:lang w:val="en-US"/>
        </w:rPr>
        <w:t>22</w:t>
      </w:r>
      <w:r w:rsidRPr="00F1318D">
        <w:rPr>
          <w:rFonts w:ascii="Arial" w:hAnsi="Arial"/>
          <w:sz w:val="22"/>
          <w:lang w:val="en-US"/>
        </w:rPr>
        <w:t xml:space="preserve"> </w:t>
      </w:r>
      <w:r>
        <w:rPr>
          <w:rFonts w:ascii="Arial" w:hAnsi="Arial"/>
          <w:sz w:val="22"/>
          <w:lang w:val="en-US"/>
        </w:rPr>
        <w:t xml:space="preserve">section </w:t>
      </w:r>
      <w:r w:rsidRPr="006F41A2">
        <w:rPr>
          <w:rFonts w:ascii="Arial" w:hAnsi="Arial"/>
          <w:sz w:val="22"/>
          <w:lang w:val="en-US"/>
        </w:rPr>
        <w:t>97</w:t>
      </w:r>
      <w:r>
        <w:rPr>
          <w:rFonts w:ascii="Arial" w:hAnsi="Arial"/>
          <w:sz w:val="22"/>
          <w:lang w:val="en-US"/>
        </w:rPr>
        <w:t xml:space="preserve"> </w:t>
      </w:r>
      <w:r w:rsidRPr="006F41A2">
        <w:rPr>
          <w:rFonts w:ascii="Arial" w:hAnsi="Arial"/>
          <w:sz w:val="22"/>
          <w:lang w:val="en-US"/>
        </w:rPr>
        <w:t>Review of emergency plan</w:t>
      </w:r>
    </w:p>
    <w:p w14:paraId="54773EF5" w14:textId="254B9594" w:rsidR="006F41A2" w:rsidRDefault="006F41A2" w:rsidP="006F41A2">
      <w:pPr>
        <w:spacing w:before="120" w:after="120" w:line="276" w:lineRule="auto"/>
        <w:rPr>
          <w:rFonts w:ascii="Arial" w:hAnsi="Arial"/>
          <w:sz w:val="22"/>
          <w:lang w:val="en-US"/>
        </w:rPr>
      </w:pPr>
      <w:r w:rsidRPr="00F1318D">
        <w:rPr>
          <w:rFonts w:ascii="Arial" w:hAnsi="Arial"/>
          <w:sz w:val="22"/>
          <w:lang w:val="en-US"/>
        </w:rPr>
        <w:t>(NSW) Mine Work Health &amp; Safety (Mines &amp; Petroleum Sites) Regulation 20</w:t>
      </w:r>
      <w:r>
        <w:rPr>
          <w:rFonts w:ascii="Arial" w:hAnsi="Arial"/>
          <w:sz w:val="22"/>
          <w:lang w:val="en-US"/>
        </w:rPr>
        <w:t>22</w:t>
      </w:r>
      <w:r w:rsidRPr="00F1318D">
        <w:rPr>
          <w:rFonts w:ascii="Arial" w:hAnsi="Arial"/>
          <w:sz w:val="22"/>
          <w:lang w:val="en-US"/>
        </w:rPr>
        <w:t xml:space="preserve"> </w:t>
      </w:r>
      <w:r>
        <w:rPr>
          <w:rFonts w:ascii="Arial" w:hAnsi="Arial"/>
          <w:sz w:val="22"/>
          <w:lang w:val="en-US"/>
        </w:rPr>
        <w:t xml:space="preserve">section </w:t>
      </w:r>
      <w:r w:rsidRPr="006F41A2">
        <w:rPr>
          <w:rFonts w:ascii="Arial" w:hAnsi="Arial"/>
          <w:sz w:val="22"/>
          <w:lang w:val="en-US"/>
        </w:rPr>
        <w:t>110</w:t>
      </w:r>
      <w:r>
        <w:rPr>
          <w:rFonts w:ascii="Arial" w:hAnsi="Arial"/>
          <w:sz w:val="22"/>
          <w:lang w:val="en-US"/>
        </w:rPr>
        <w:t xml:space="preserve"> </w:t>
      </w:r>
      <w:r w:rsidRPr="006F41A2">
        <w:rPr>
          <w:rFonts w:ascii="Arial" w:hAnsi="Arial"/>
          <w:sz w:val="22"/>
          <w:lang w:val="en-US"/>
        </w:rPr>
        <w:t>Review of information, training and instruction</w:t>
      </w:r>
    </w:p>
    <w:p w14:paraId="34E9D28C" w14:textId="5F9A5A7A" w:rsidR="006F41A2" w:rsidRDefault="006F41A2" w:rsidP="006F41A2">
      <w:pPr>
        <w:spacing w:before="120" w:after="120" w:line="276" w:lineRule="auto"/>
        <w:rPr>
          <w:rFonts w:ascii="Arial" w:hAnsi="Arial"/>
          <w:sz w:val="22"/>
          <w:lang w:val="en-US"/>
        </w:rPr>
      </w:pPr>
      <w:r w:rsidRPr="00F1318D">
        <w:rPr>
          <w:rFonts w:ascii="Arial" w:hAnsi="Arial"/>
          <w:sz w:val="22"/>
          <w:lang w:val="en-US"/>
        </w:rPr>
        <w:t>(NSW) Mine Work Health &amp; Safety (Mines &amp; Petroleum Sites) Regulation 20</w:t>
      </w:r>
      <w:r>
        <w:rPr>
          <w:rFonts w:ascii="Arial" w:hAnsi="Arial"/>
          <w:sz w:val="22"/>
          <w:lang w:val="en-US"/>
        </w:rPr>
        <w:t>22</w:t>
      </w:r>
      <w:r w:rsidRPr="00F1318D">
        <w:rPr>
          <w:rFonts w:ascii="Arial" w:hAnsi="Arial"/>
          <w:sz w:val="22"/>
          <w:lang w:val="en-US"/>
        </w:rPr>
        <w:t xml:space="preserve"> </w:t>
      </w:r>
      <w:r>
        <w:rPr>
          <w:rFonts w:ascii="Arial" w:hAnsi="Arial"/>
          <w:sz w:val="22"/>
          <w:lang w:val="en-US"/>
        </w:rPr>
        <w:t xml:space="preserve">section </w:t>
      </w:r>
      <w:r w:rsidRPr="006F41A2">
        <w:rPr>
          <w:rFonts w:ascii="Arial" w:hAnsi="Arial"/>
          <w:sz w:val="22"/>
          <w:lang w:val="en-US"/>
        </w:rPr>
        <w:t>118</w:t>
      </w:r>
      <w:r>
        <w:rPr>
          <w:rFonts w:ascii="Arial" w:hAnsi="Arial"/>
          <w:sz w:val="22"/>
          <w:lang w:val="en-US"/>
        </w:rPr>
        <w:t xml:space="preserve"> </w:t>
      </w:r>
      <w:r w:rsidRPr="006F41A2">
        <w:rPr>
          <w:rFonts w:ascii="Arial" w:hAnsi="Arial"/>
          <w:sz w:val="22"/>
          <w:lang w:val="en-US"/>
        </w:rPr>
        <w:t xml:space="preserve">Review of survey plan </w:t>
      </w:r>
    </w:p>
    <w:p w14:paraId="6C51AD52" w14:textId="09547E04" w:rsidR="009C62DE" w:rsidRPr="00D83388" w:rsidRDefault="00F1318D" w:rsidP="00F1318D">
      <w:pPr>
        <w:spacing w:before="120" w:after="120" w:line="276" w:lineRule="auto"/>
        <w:rPr>
          <w:rFonts w:ascii="Arial" w:hAnsi="Arial"/>
          <w:sz w:val="22"/>
          <w:lang w:val="en-US"/>
        </w:rPr>
      </w:pPr>
      <w:r w:rsidRPr="00F1318D">
        <w:rPr>
          <w:rFonts w:ascii="Arial" w:hAnsi="Arial"/>
          <w:sz w:val="22"/>
          <w:lang w:val="en-US"/>
        </w:rPr>
        <w:t>Health &amp; Safety at Quarries – Section 2 - Safety Management System</w:t>
      </w:r>
    </w:p>
    <w:sectPr w:rsidR="009C62DE" w:rsidRPr="00D83388" w:rsidSect="00E41FA0">
      <w:headerReference w:type="even" r:id="rId9"/>
      <w:headerReference w:type="default" r:id="rId10"/>
      <w:footerReference w:type="even" r:id="rId11"/>
      <w:footerReference w:type="default" r:id="rId12"/>
      <w:headerReference w:type="first" r:id="rId13"/>
      <w:footerReference w:type="first" r:id="rId14"/>
      <w:pgSz w:w="11906" w:h="16838" w:code="9"/>
      <w:pgMar w:top="2381" w:right="1276" w:bottom="1644" w:left="1418" w:header="624" w:footer="595"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C49D547" w14:textId="77777777" w:rsidR="00336D8E" w:rsidRDefault="00336D8E" w:rsidP="00870475">
      <w:r>
        <w:separator/>
      </w:r>
    </w:p>
  </w:endnote>
  <w:endnote w:type="continuationSeparator" w:id="0">
    <w:p w14:paraId="79E3A8FB" w14:textId="77777777" w:rsidR="00336D8E" w:rsidRDefault="00336D8E" w:rsidP="008704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60B4C2BE-65A3-4564-9385-5232A3D80C16}"/>
  </w:font>
  <w:font w:name="Gibson">
    <w:altName w:val="Calibri"/>
    <w:panose1 w:val="00000000000000000000"/>
    <w:charset w:val="00"/>
    <w:family w:val="modern"/>
    <w:notTrueType/>
    <w:pitch w:val="variable"/>
    <w:sig w:usb0="A000002F" w:usb1="5000004A" w:usb2="00000000" w:usb3="00000000" w:csb0="00000093" w:csb1="00000000"/>
  </w:font>
  <w:font w:name="Myriad Pro Light">
    <w:altName w:val="Arial"/>
    <w:panose1 w:val="00000000000000000000"/>
    <w:charset w:val="00"/>
    <w:family w:val="swiss"/>
    <w:notTrueType/>
    <w:pitch w:val="variable"/>
    <w:sig w:usb0="20000287" w:usb1="00000001" w:usb2="00000000" w:usb3="00000000" w:csb0="0000019F" w:csb1="00000000"/>
  </w:font>
  <w:font w:name="Myriad Pro">
    <w:altName w:val="Malgun Gothic"/>
    <w:panose1 w:val="00000000000000000000"/>
    <w:charset w:val="00"/>
    <w:family w:val="swiss"/>
    <w:notTrueType/>
    <w:pitch w:val="variable"/>
    <w:sig w:usb0="20000287" w:usb1="00000001"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embedRegular r:id="rId2" w:fontKey="{B664A593-7DEB-47ED-A709-FF3D8967C181}"/>
  </w:font>
  <w:font w:name="Tahoma">
    <w:panose1 w:val="020B0604030504040204"/>
    <w:charset w:val="00"/>
    <w:family w:val="swiss"/>
    <w:pitch w:val="variable"/>
    <w:sig w:usb0="E1002EFF" w:usb1="C000605B" w:usb2="00000029" w:usb3="00000000" w:csb0="000101FF" w:csb1="00000000"/>
    <w:embedRegular r:id="rId3" w:fontKey="{73F97DCD-BDB0-4BCF-BAFC-B70A95C11019}"/>
  </w:font>
  <w:font w:name="Segoe UI Emoji">
    <w:panose1 w:val="020B0502040204020203"/>
    <w:charset w:val="00"/>
    <w:family w:val="swiss"/>
    <w:pitch w:val="variable"/>
    <w:sig w:usb0="00000003" w:usb1="02000000" w:usb2="00000000" w:usb3="00000000" w:csb0="00000001" w:csb1="00000000"/>
    <w:embedRegular r:id="rId4" w:fontKey="{1B1DB8D6-7789-4D39-9D0A-9F169981ABA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05C8B3" w14:textId="77777777" w:rsidR="008864A5" w:rsidRDefault="008864A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C27851" w14:textId="6097B636" w:rsidR="00C70901" w:rsidRPr="00797BF5" w:rsidRDefault="00E41FA0" w:rsidP="0015218A">
    <w:pPr>
      <w:jc w:val="right"/>
      <w:rPr>
        <w:rFonts w:ascii="Arial" w:hAnsi="Arial" w:cs="Arial"/>
        <w:b/>
      </w:rPr>
    </w:pPr>
    <w:r w:rsidRPr="00797BF5">
      <w:rPr>
        <w:rFonts w:ascii="Arial" w:hAnsi="Arial" w:cs="Arial"/>
        <w:noProof/>
      </w:rPr>
      <mc:AlternateContent>
        <mc:Choice Requires="wpg">
          <w:drawing>
            <wp:anchor distT="0" distB="0" distL="114300" distR="114300" simplePos="0" relativeHeight="251654656" behindDoc="0" locked="0" layoutInCell="1" allowOverlap="1" wp14:anchorId="482832E6" wp14:editId="49357F24">
              <wp:simplePos x="0" y="0"/>
              <wp:positionH relativeFrom="page">
                <wp:posOffset>6388405</wp:posOffset>
              </wp:positionH>
              <wp:positionV relativeFrom="page">
                <wp:posOffset>10045065</wp:posOffset>
              </wp:positionV>
              <wp:extent cx="259080" cy="821055"/>
              <wp:effectExtent l="57150" t="19050" r="45720" b="0"/>
              <wp:wrapNone/>
              <wp:docPr id="7" name="Group 1" title="brand symbol"/>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rot="300000">
                        <a:off x="0" y="0"/>
                        <a:ext cx="259080" cy="821055"/>
                        <a:chOff x="0" y="0"/>
                        <a:chExt cx="281940" cy="883920"/>
                      </a:xfrm>
                    </wpg:grpSpPr>
                    <wps:wsp>
                      <wps:cNvPr id="8" name="Straight Connector 2"/>
                      <wps:cNvCnPr/>
                      <wps:spPr>
                        <a:xfrm flipH="1">
                          <a:off x="0" y="83820"/>
                          <a:ext cx="228600" cy="800100"/>
                        </a:xfrm>
                        <a:prstGeom prst="line">
                          <a:avLst/>
                        </a:prstGeom>
                        <a:noFill/>
                        <a:ln w="12700" cap="flat" cmpd="sng" algn="ctr">
                          <a:solidFill>
                            <a:srgbClr val="0070C0"/>
                          </a:solidFill>
                          <a:prstDash val="solid"/>
                          <a:miter lim="800000"/>
                        </a:ln>
                        <a:effectLst/>
                      </wps:spPr>
                      <wps:bodyPr/>
                    </wps:wsp>
                    <wps:wsp>
                      <wps:cNvPr id="9" name="Oval 3"/>
                      <wps:cNvSpPr/>
                      <wps:spPr>
                        <a:xfrm>
                          <a:off x="192405" y="0"/>
                          <a:ext cx="89535" cy="89535"/>
                        </a:xfrm>
                        <a:prstGeom prst="ellipse">
                          <a:avLst/>
                        </a:prstGeom>
                        <a:noFill/>
                        <a:ln w="25400" cap="flat" cmpd="sng" algn="ctr">
                          <a:solidFill>
                            <a:srgbClr val="0070C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4B17686" id="Group 1" o:spid="_x0000_s1026" alt="Title: brand symbol" style="position:absolute;margin-left:503pt;margin-top:790.95pt;width:20.4pt;height:64.65pt;rotation:5;z-index:251654656;mso-position-horizontal-relative:page;mso-position-vertical-relative:page;mso-width-relative:margin;mso-height-relative:margin" coordsize="2819,88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SxLUgMAAD8IAAAOAAAAZHJzL2Uyb0RvYy54bWzUVd1v2jAQf5+0/8Hy+5oQYISoUCG6dpNQ&#10;i9ROfTaOk1hzbM82Dd1fv7MdoC19WSdNWh4if9yd736/+zi/2LUCPTJjuZIzPDhLMWKSqpLLeoa/&#10;3199yjGyjsiSCCXZDD8xiy/mHz+cd7pgmWqUKJlBYETaotMz3DiniySxtGEtsWdKMwmXlTItcbA1&#10;dVIa0oH1ViRZmn5OOmVKbRRl1sLpZbzE82C/qhh1t1VlmUNihsE3F/4m/Df+n8zPSVEbohtOezfI&#10;O7xoCZfw6MHUJXEEbQ0/MdVyapRVlTujqk1UVXHKQgwQzSB9Fc21UVsdYqmLrtYHmADaVzi92yy9&#10;eVwbxMsZnmAkSQsUhVfRAMDiTsB+Y4A+ZJ/ajRIer07XBahdG32n1yYGDcuVoj8skmrZEFmzhdWA&#10;PWSE10heq/h9fdTfVaZFRoH4MPVfQBKwQbtA1NOBKLZziMJhNp6mOdBJ4SrPBul4HImkDbB9okWb&#10;L3u9fDAd7fXy4TQLCZCQwnvQ+3nwq9OQkvaIuv071O8aolkg03r4etShPCLqd84QXjcOLZWUAJ0y&#10;KItoB/GlXJuAvS1sj3pArRJcf/Uwex5eQJYP8xgeKQ6wZflnQDfClkK+vQyfFNpYd81Ui/xihgWX&#10;3mNSkMeVdZ7Io4g/luqKCwHnpBASdeBGNgn2CVRyJYiDp1oNuWVljRERNbQI6kwwaZXgpVf32tbU&#10;m6Uw6JH4Mk0n6XLv2Qsx79UlsU2UC1eR95Y76CKCt5AOMYOis0J66yz0gT4Cz2pE0K82qnwKwEKK&#10;BrZ9ev8D2qd72m8hZDR8RrSvqTeI9nH09A6m2SgdY3RaFvl0PISLUBVhGVGIyX2krmeXCcgd+2cE&#10;Z+PR/0hwbC6Q+VbTKw5ZtCLWrYmBVg+HML7cLfwqoSCHVb/CqFHm11vnXh56Adxi1MHogPz+uSWG&#10;YSS+SegS08HINxkXNqPxBMoQmec3m+c3ctsuFaQ9NFzwLiy9vBP7ZWVU+wBTbuFfhSsiKbwdK6nf&#10;LF0caTAnKVssghjMF03cSt5puu8Pvn7udw/E6D4FHHSGG7XvTCd1HmV96km12DpV8dAEjoUTWmZf&#10;N6HJw5QKXaKfqH4MPt8H+ePcn/8GAAD//wMAUEsDBBQABgAIAAAAIQC6LR+44wAAAA8BAAAPAAAA&#10;ZHJzL2Rvd25yZXYueG1sTI/NTsMwEITvSLyDtUhcUOskglJCnKpC4lBxQKSo4ujESxwR25Ht/PTt&#10;2Z7gNqMdzX5T7BbTswl96JwVkK4TYGgbpzrbCvg8vq62wEKUVsneWRRwxgC78vqqkLlys/3AqYot&#10;oxIbcilAxzjknIdGo5Fh7Qa0dPt23shI1rdceTlTuel5liQbbmRn6YOWA75obH6q0QhozqfpTb9n&#10;VX08HPbzHO/81zQKcXuz7J+BRVziXxgu+IQOJTHVbrQqsJ48tdOYSOphmz4Bu2SS+w3tqUk9pmkG&#10;vCz4/x3lLwAAAP//AwBQSwECLQAUAAYACAAAACEAtoM4kv4AAADhAQAAEwAAAAAAAAAAAAAAAAAA&#10;AAAAW0NvbnRlbnRfVHlwZXNdLnhtbFBLAQItABQABgAIAAAAIQA4/SH/1gAAAJQBAAALAAAAAAAA&#10;AAAAAAAAAC8BAABfcmVscy8ucmVsc1BLAQItABQABgAIAAAAIQBfUSxLUgMAAD8IAAAOAAAAAAAA&#10;AAAAAAAAAC4CAABkcnMvZTJvRG9jLnhtbFBLAQItABQABgAIAAAAIQC6LR+44wAAAA8BAAAPAAAA&#10;AAAAAAAAAAAAAKwFAABkcnMvZG93bnJldi54bWxQSwUGAAAAAAQABADzAAAAvAYAAAAA&#10;">
              <o:lock v:ext="edit" aspectratio="t"/>
              <v:line id="Straight Connector 2" o:spid="_x0000_s1027" style="position:absolute;flip:x;visibility:visible;mso-wrap-style:square" from="0,838" to="2286,8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F21wAAAANoAAAAPAAAAZHJzL2Rvd25yZXYueG1sRE9Ni8Iw&#10;EL0L/ocwwl5EU/cg2jWKimVFQagKex2a2bZsMylJ1O6/NwfB4+N9L1adacSdnK8tK5iMExDEhdU1&#10;lwqul2w0A+EDssbGMin4Jw+rZb+3wFTbB+d0P4dSxBD2KSqoQmhTKX1RkUE/ti1x5H6tMxgidKXU&#10;Dh8x3DTyM0mm0mDNsaHClrYVFX/nm1GwmR+2x+F1eEomRx9+6u8s37lMqY9Bt/4CEagLb/HLvdcK&#10;4tZ4Jd4AuXwCAAD//wMAUEsBAi0AFAAGAAgAAAAhANvh9svuAAAAhQEAABMAAAAAAAAAAAAAAAAA&#10;AAAAAFtDb250ZW50X1R5cGVzXS54bWxQSwECLQAUAAYACAAAACEAWvQsW78AAAAVAQAACwAAAAAA&#10;AAAAAAAAAAAfAQAAX3JlbHMvLnJlbHNQSwECLQAUAAYACAAAACEA1UxdtcAAAADaAAAADwAAAAAA&#10;AAAAAAAAAAAHAgAAZHJzL2Rvd25yZXYueG1sUEsFBgAAAAADAAMAtwAAAPQCAAAAAA==&#10;" strokecolor="#0070c0" strokeweight="1pt">
                <v:stroke joinstyle="miter"/>
              </v:line>
              <v:oval id="Oval 3" o:spid="_x0000_s1028" style="position:absolute;left:1924;width:895;height:8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6m1xAAAANoAAAAPAAAAZHJzL2Rvd25yZXYueG1sRI9Pi8Iw&#10;FMTvC36H8AQvy5qqIG41in8QVLyoy+Lx0TzbYvNSmqjVT28EweMwM79hRpPaFOJKlcstK+i0IxDE&#10;idU5pwr+DsufAQjnkTUWlknBnRxMxo2vEcba3nhH171PRYCwi1FB5n0ZS+mSjAy6ti2Jg3eylUEf&#10;ZJVKXeEtwE0hu1HUlwZzDgsZljTPKDnvL0bBY7ng9Ww3u/xvet/95GQfm+3xoFSrWU+HIDzV/hN+&#10;t1dawS+8roQbIMdPAAAA//8DAFBLAQItABQABgAIAAAAIQDb4fbL7gAAAIUBAAATAAAAAAAAAAAA&#10;AAAAAAAAAABbQ29udGVudF9UeXBlc10ueG1sUEsBAi0AFAAGAAgAAAAhAFr0LFu/AAAAFQEAAAsA&#10;AAAAAAAAAAAAAAAAHwEAAF9yZWxzLy5yZWxzUEsBAi0AFAAGAAgAAAAhAJArqbXEAAAA2gAAAA8A&#10;AAAAAAAAAAAAAAAABwIAAGRycy9kb3ducmV2LnhtbFBLBQYAAAAAAwADALcAAAD4AgAAAAA=&#10;" filled="f" strokecolor="#0070c0" strokeweight="2pt">
                <v:stroke joinstyle="miter"/>
              </v:oval>
              <w10:wrap anchorx="page" anchory="page"/>
            </v:group>
          </w:pict>
        </mc:Fallback>
      </mc:AlternateContent>
    </w:r>
    <w:r w:rsidR="0005052D" w:rsidRPr="00797BF5">
      <w:rPr>
        <w:rFonts w:ascii="Arial" w:hAnsi="Arial" w:cs="Arial"/>
        <w:noProof/>
      </w:rPr>
      <w:drawing>
        <wp:anchor distT="0" distB="0" distL="114300" distR="114300" simplePos="0" relativeHeight="251653632" behindDoc="0" locked="0" layoutInCell="1" allowOverlap="1" wp14:anchorId="245B5CE6" wp14:editId="6007AEB5">
          <wp:simplePos x="0" y="0"/>
          <wp:positionH relativeFrom="page">
            <wp:posOffset>528955</wp:posOffset>
          </wp:positionH>
          <wp:positionV relativeFrom="page">
            <wp:posOffset>9803765</wp:posOffset>
          </wp:positionV>
          <wp:extent cx="647700" cy="680085"/>
          <wp:effectExtent l="0" t="0" r="0" b="0"/>
          <wp:wrapNone/>
          <wp:docPr id="23"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7700" cy="680085"/>
                  </a:xfrm>
                  <a:prstGeom prst="rect">
                    <a:avLst/>
                  </a:prstGeom>
                  <a:noFill/>
                  <a:ln>
                    <a:noFill/>
                  </a:ln>
                </pic:spPr>
              </pic:pic>
            </a:graphicData>
          </a:graphic>
          <wp14:sizeRelH relativeFrom="page">
            <wp14:pctWidth>0</wp14:pctWidth>
          </wp14:sizeRelH>
          <wp14:sizeRelV relativeFrom="page">
            <wp14:pctHeight>0</wp14:pctHeight>
          </wp14:sizeRelV>
        </wp:anchor>
      </w:drawing>
    </w:r>
    <w:r w:rsidR="0005052D" w:rsidRPr="00797BF5">
      <w:rPr>
        <w:rFonts w:ascii="Arial" w:hAnsi="Arial" w:cs="Arial"/>
        <w:noProof/>
      </w:rPr>
      <mc:AlternateContent>
        <mc:Choice Requires="wps">
          <w:drawing>
            <wp:anchor distT="0" distB="0" distL="114300" distR="114300" simplePos="0" relativeHeight="251655680" behindDoc="0" locked="0" layoutInCell="1" allowOverlap="1" wp14:anchorId="21C636B7" wp14:editId="4C2DBF9B">
              <wp:simplePos x="0" y="0"/>
              <wp:positionH relativeFrom="page">
                <wp:posOffset>3114675</wp:posOffset>
              </wp:positionH>
              <wp:positionV relativeFrom="page">
                <wp:posOffset>10117455</wp:posOffset>
              </wp:positionV>
              <wp:extent cx="3390900" cy="24130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90900" cy="241300"/>
                      </a:xfrm>
                      <a:prstGeom prst="rect">
                        <a:avLst/>
                      </a:prstGeom>
                      <a:noFill/>
                      <a:ln w="9525">
                        <a:noFill/>
                        <a:miter lim="800000"/>
                        <a:headEnd/>
                        <a:tailEnd/>
                      </a:ln>
                    </wps:spPr>
                    <wps:txbx>
                      <w:txbxContent>
                        <w:p w14:paraId="52F85D2B" w14:textId="77777777" w:rsidR="0015218A" w:rsidRPr="00252FB7" w:rsidRDefault="0015218A" w:rsidP="0015218A">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1C636B7" id="_x0000_t202" coordsize="21600,21600" o:spt="202" path="m,l,21600r21600,l21600,xe">
              <v:stroke joinstyle="miter"/>
              <v:path gradientshapeok="t" o:connecttype="rect"/>
            </v:shapetype>
            <v:shape id="Text Box 2" o:spid="_x0000_s1027" type="#_x0000_t202" style="position:absolute;left:0;text-align:left;margin-left:245.25pt;margin-top:796.65pt;width:267pt;height:19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wwT9gEAAM0DAAAOAAAAZHJzL2Uyb0RvYy54bWysU8tu2zAQvBfoPxC815JfbSxYDtKkKQqk&#10;DyDtB9AUZRElueyStuR+fZaU4xjtragOxK6WHO7MDtfXgzXsoDBocDWfTkrOlJPQaLer+Y/v92+u&#10;OAtRuEYYcKrmRxX49eb1q3XvKzWDDkyjkBGIC1Xva97F6KuiCLJTVoQJeOWo2AJaESnFXdGg6And&#10;mmJWlm+LHrDxCFKFQH/vxiLfZPy2VTJ+bdugIjM1p95iXjGv27QWm7Wodih8p+WpDfEPXVihHV16&#10;hroTUbA96r+grJYIAdo4kWALaFstVeZAbKblH2weO+FV5kLiBH+WKfw/WPnl8Oi/IYvDexhogJlE&#10;8A8gfwbm4LYTbqduEKHvlGjo4mmSrOh9qE5Hk9ShCglk23+GhoYs9hEy0NCiTaoQT0boNIDjWXQ1&#10;RCbp53y+KlcllSTVZovpnOJ0haieT3sM8aMCy1JQc6ShZnRxeAhx3Pq8JV3m4F4bkwdrHOtrvlrO&#10;lvnARcXqSL4z2tb8qkzf6IRE8oNr8uEotBlj6sW4E+tEdKQch+1AGxP7LTRH4o8w+oveAwUd4G/O&#10;evJWzcOvvUDFmfnkSMPVdLFIZszJYvluRgleVraXFeEkQdU8cjaGtzEbeOR6Q1q3Osvw0smpV/JM&#10;FvLk72TKyzzvenmFmycAAAD//wMAUEsDBBQABgAIAAAAIQBY5Gv04QAAAA4BAAAPAAAAZHJzL2Rv&#10;d25yZXYueG1sTI/NTsMwEITvSLyDtUjcqN0mqUiIUyEQVyrKj8TNjbdJRLyOYrcJb9/tCW67O6PZ&#10;b8rN7HpxwjF0njQsFwoEUu1tR42Gj/eXu3sQIRqypveEGn4xwKa6vipNYf1Eb3jaxUZwCIXCaGhj&#10;HAopQ92iM2HhByTWDn50JvI6NtKOZuJw18uVUmvpTEf8oTUDPrVY/+yOTsPn6+H7K1Xb5tllw+Rn&#10;JcnlUuvbm/nxAUTEOf6Z4YLP6FAx094fyQbRa0hzlbGVhSxPEhAXi1qlfNvztE6WCciqlP9rVGcA&#10;AAD//wMAUEsBAi0AFAAGAAgAAAAhALaDOJL+AAAA4QEAABMAAAAAAAAAAAAAAAAAAAAAAFtDb250&#10;ZW50X1R5cGVzXS54bWxQSwECLQAUAAYACAAAACEAOP0h/9YAAACUAQAACwAAAAAAAAAAAAAAAAAv&#10;AQAAX3JlbHMvLnJlbHNQSwECLQAUAAYACAAAACEAhDcME/YBAADNAwAADgAAAAAAAAAAAAAAAAAu&#10;AgAAZHJzL2Uyb0RvYy54bWxQSwECLQAUAAYACAAAACEAWORr9OEAAAAOAQAADwAAAAAAAAAAAAAA&#10;AABQBAAAZHJzL2Rvd25yZXYueG1sUEsFBgAAAAAEAAQA8wAAAF4FAAAAAA==&#10;" filled="f" stroked="f">
              <v:textbox>
                <w:txbxContent>
                  <w:p w14:paraId="52F85D2B" w14:textId="77777777" w:rsidR="0015218A" w:rsidRPr="00252FB7" w:rsidRDefault="0015218A" w:rsidP="0015218A">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v:textbox>
              <w10:wrap anchorx="page" anchory="page"/>
            </v:shape>
          </w:pict>
        </mc:Fallback>
      </mc:AlternateContent>
    </w:r>
    <w:r w:rsidR="006D57F9" w:rsidRPr="00797BF5">
      <w:rPr>
        <w:rFonts w:ascii="Arial" w:hAnsi="Arial" w:cs="Arial"/>
        <w:b/>
        <w:color w:val="062539"/>
        <w:sz w:val="18"/>
      </w:rPr>
      <w:fldChar w:fldCharType="begin"/>
    </w:r>
    <w:r w:rsidR="006D57F9" w:rsidRPr="00797BF5">
      <w:rPr>
        <w:rFonts w:ascii="Arial" w:hAnsi="Arial" w:cs="Arial"/>
        <w:b/>
        <w:color w:val="062539"/>
        <w:sz w:val="18"/>
      </w:rPr>
      <w:instrText xml:space="preserve"> PAGE   \* MERGEFORMAT </w:instrText>
    </w:r>
    <w:r w:rsidR="006D57F9" w:rsidRPr="00797BF5">
      <w:rPr>
        <w:rFonts w:ascii="Arial" w:hAnsi="Arial" w:cs="Arial"/>
        <w:b/>
        <w:color w:val="062539"/>
        <w:sz w:val="18"/>
      </w:rPr>
      <w:fldChar w:fldCharType="separate"/>
    </w:r>
    <w:r w:rsidR="00D83388">
      <w:rPr>
        <w:rFonts w:ascii="Arial" w:hAnsi="Arial" w:cs="Arial"/>
        <w:b/>
        <w:noProof/>
        <w:color w:val="062539"/>
        <w:sz w:val="18"/>
      </w:rPr>
      <w:t>2</w:t>
    </w:r>
    <w:r w:rsidR="006D57F9" w:rsidRPr="00797BF5">
      <w:rPr>
        <w:rFonts w:ascii="Arial" w:hAnsi="Arial" w:cs="Arial"/>
        <w:b/>
        <w:noProof/>
        <w:color w:val="062539"/>
        <w:sz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0EEEE3" w14:textId="7D64741B" w:rsidR="00AF0D4B" w:rsidRPr="00797BF5" w:rsidRDefault="00E41FA0" w:rsidP="00AF0D4B">
    <w:pPr>
      <w:jc w:val="right"/>
      <w:rPr>
        <w:rFonts w:ascii="Arial" w:hAnsi="Arial" w:cs="Arial"/>
        <w:b/>
      </w:rPr>
    </w:pPr>
    <w:r w:rsidRPr="00797BF5">
      <w:rPr>
        <w:rFonts w:ascii="Arial" w:hAnsi="Arial" w:cs="Arial"/>
        <w:b/>
        <w:noProof/>
        <w:lang w:eastAsia="en-AU"/>
      </w:rPr>
      <mc:AlternateContent>
        <mc:Choice Requires="wpg">
          <w:drawing>
            <wp:anchor distT="0" distB="0" distL="114300" distR="114300" simplePos="0" relativeHeight="251659776" behindDoc="0" locked="0" layoutInCell="1" allowOverlap="1" wp14:anchorId="05847CC4" wp14:editId="46B32892">
              <wp:simplePos x="0" y="0"/>
              <wp:positionH relativeFrom="page">
                <wp:posOffset>6356045</wp:posOffset>
              </wp:positionH>
              <wp:positionV relativeFrom="page">
                <wp:posOffset>10059035</wp:posOffset>
              </wp:positionV>
              <wp:extent cx="259080" cy="821055"/>
              <wp:effectExtent l="57150" t="19050" r="45720" b="0"/>
              <wp:wrapNone/>
              <wp:docPr id="2" name="Group 1" descr="Title: brand symbol"/>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rot="300000">
                        <a:off x="0" y="0"/>
                        <a:ext cx="259080" cy="821055"/>
                        <a:chOff x="0" y="0"/>
                        <a:chExt cx="281940" cy="883920"/>
                      </a:xfrm>
                    </wpg:grpSpPr>
                    <wps:wsp>
                      <wps:cNvPr id="3" name="Straight Connector 2"/>
                      <wps:cNvCnPr>
                        <a:cxnSpLocks noChangeShapeType="1"/>
                      </wps:cNvCnPr>
                      <wps:spPr bwMode="auto">
                        <a:xfrm flipH="1">
                          <a:off x="0" y="83820"/>
                          <a:ext cx="228600" cy="800100"/>
                        </a:xfrm>
                        <a:prstGeom prst="line">
                          <a:avLst/>
                        </a:prstGeom>
                        <a:noFill/>
                        <a:ln w="12700" algn="ctr">
                          <a:solidFill>
                            <a:srgbClr val="0070C0"/>
                          </a:solidFill>
                          <a:miter lim="800000"/>
                          <a:headEnd/>
                          <a:tailEnd/>
                        </a:ln>
                        <a:extLst>
                          <a:ext uri="{909E8E84-426E-40DD-AFC4-6F175D3DCCD1}">
                            <a14:hiddenFill xmlns:a14="http://schemas.microsoft.com/office/drawing/2010/main">
                              <a:noFill/>
                            </a14:hiddenFill>
                          </a:ext>
                        </a:extLst>
                      </wps:spPr>
                      <wps:bodyPr/>
                    </wps:wsp>
                    <wps:wsp>
                      <wps:cNvPr id="4" name="Oval 3"/>
                      <wps:cNvSpPr>
                        <a:spLocks noChangeArrowheads="1"/>
                      </wps:cNvSpPr>
                      <wps:spPr bwMode="auto">
                        <a:xfrm>
                          <a:off x="192405" y="0"/>
                          <a:ext cx="89535" cy="89535"/>
                        </a:xfrm>
                        <a:prstGeom prst="ellipse">
                          <a:avLst/>
                        </a:prstGeom>
                        <a:noFill/>
                        <a:ln w="25400" algn="ctr">
                          <a:solidFill>
                            <a:srgbClr val="0070C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51940EC8" id="Group 1" o:spid="_x0000_s1026" alt="Title: brand symbol" style="position:absolute;margin-left:500.5pt;margin-top:792.05pt;width:20.4pt;height:64.65pt;rotation:5;z-index:251659776;mso-position-horizontal-relative:page;mso-position-vertical-relative:page;mso-width-relative:margin;mso-height-relative:margin" coordsize="2819,88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k2KfgMAAG8JAAAOAAAAZHJzL2Uyb0RvYy54bWzsVttu2zgQfV9g/4HQu6OL5UQW4hSBbGcX&#10;aJsAST+ApiiJKEWqJB3ZW/TfOyQlx3ZaYDcF+rR+kEmRM5o558yQ1+92LUfPVGkmxSKIL6IAUUFk&#10;yUS9CD49rSdZgLTBosRcCroI9lQH727+/OO673KayEbykioEToTO+24RNMZ0eRhq0tAW6wvZUQGL&#10;lVQtNjBVdVgq3IP3lodJFF2GvVRlpyShWsPbpV8Mbpz/qqLE3FeVpgbxRQCxGfdU7rmxz/DmGue1&#10;wl3DyBAGfkMULWYCPnpwtcQGo61ir1y1jCipZWUuiGxDWVWMUJcDZBNHZ9ncKbntXC513tfdASaA&#10;9gynN7slH58fFGLlIkgCJHALFLmvojhAJdUEoHpihtMcbRSwiPS+3UhuYeu7OgfrO9U9dg/K5w7D&#10;95J81kjIosGipre6AwpAGNYiPDex89rbo03/QZbwdbw10iG5q1SLlATjaWR/7iUAhnaOvf2BPboz&#10;iMDLZDaPMuCYwFKWxNFs5tklDUjglRVpVqNdFs/T0S6bzhOnihDnNoIh6iFKmzXoVL9QoX+NiscG&#10;d9QxrC2YAxXTkYpHozCrG4MKKQQAKRVKPPZueyE88GQnzoF3jp/2HSA6Yn9kYrPQwNpPUK846/6y&#10;hpbVE8izaebhwfkB9iS7BHY87BGI+BQ+nHdKmzsqW2QHi4AzYTPGOX5+r42VxcsW+1rINePc1SUX&#10;qIcwkivrH/MaOgwxyhlryVlpN1oTrepNwRV6xrbKo6uoGGM42dYyA72Gsxb04SXlvtJQXK5E6cYG&#10;M+7HEBUX1jnkCXEOI1/TX+fRfJWtsnSSJperSRotl5PbdZFOLtfx1Ww5XRbFMv5m44zTvGFlSYUN&#10;dewvcfrvRDN0Ot8ZDh3mgE946t0BCcGO/y5oKDnPtFfuRpb7B2UxH3T8mwSdjoK+B4rQ9EjCY+/Q&#10;541DKdlbZqDATgTsDca0fixgS9Yg23iepNEsQK/bRTafTWHBdQs3tLCMRf8iyUG1lENN6P8m3GSW&#10;/i/c8CDck1o8Kdm1+1lVAAFH296scH9uQNOAmwm0nEaqfwLUwym/CPSXLVY0QPxvAdKax6lt/cZN&#10;0tkVNDekjlc2xytYEHDlmxDyk8L4y8S2U7ZRj01TyFs4xyrm+psVq6+848JzpyGc6i7p4QZirw3H&#10;c7f/5Z508x0AAP//AwBQSwMEFAAGAAgAAAAhAFs+RBbjAAAADwEAAA8AAABkcnMvZG93bnJldi54&#10;bWxMj81OwzAQhO9IvIO1SFxQa7sEqEKcqkLiUHFApKji6MQmjojtyHZ++vZsT3Cb0Y5m5yt2i+3J&#10;pEPsvBPA1wyIdo1XnWsFfB5fV1sgMUmnZO+dFnDWEXbl9VUhc+Vn96GnKrUES1zMpQCT0pBTGhuj&#10;rYxrP2iHt28frExoQ0tVkDOW255uGHukVnYOPxg56Bejm59qtAKa82l6M++bqj4eDvt5TnfhaxqF&#10;uL1Z9s9Akl7SXxgu83E6lLip9qNTkfToGeMIk1A9bDMO5JJhGUeeGtUTv8+AlgX9z1H+AgAA//8D&#10;AFBLAQItABQABgAIAAAAIQC2gziS/gAAAOEBAAATAAAAAAAAAAAAAAAAAAAAAABbQ29udGVudF9U&#10;eXBlc10ueG1sUEsBAi0AFAAGAAgAAAAhADj9If/WAAAAlAEAAAsAAAAAAAAAAAAAAAAALwEAAF9y&#10;ZWxzLy5yZWxzUEsBAi0AFAAGAAgAAAAhAI5qTYp+AwAAbwkAAA4AAAAAAAAAAAAAAAAALgIAAGRy&#10;cy9lMm9Eb2MueG1sUEsBAi0AFAAGAAgAAAAhAFs+RBbjAAAADwEAAA8AAAAAAAAAAAAAAAAA2AUA&#10;AGRycy9kb3ducmV2LnhtbFBLBQYAAAAABAAEAPMAAADoBgAAAAA=&#10;">
              <o:lock v:ext="edit" aspectratio="t"/>
              <v:line id="Straight Connector 2" o:spid="_x0000_s1027" style="position:absolute;flip:x;visibility:visible;mso-wrap-style:square" from="0,838" to="2286,8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M/ExAAAANoAAAAPAAAAZHJzL2Rvd25yZXYueG1sRI/dagIx&#10;FITvC75DOII3olktFF2NouLSUkHwB7w9bI67i5uTJYm6ffumUPBymJlvmPmyNbV4kPOVZQWjYQKC&#10;OLe64kLB+ZQNJiB8QNZYWyYFP+Rhuei8zTHV9skHehxDISKEfYoKyhCaVEqfl2TQD21DHL2rdQZD&#10;lK6Q2uEzwk0tx0nyIQ1WHBdKbGhTUn473o2C9fR7s+uf+/tktPPhUn1mh63LlOp129UMRKA2vML/&#10;7S+t4B3+rsQbIBe/AAAA//8DAFBLAQItABQABgAIAAAAIQDb4fbL7gAAAIUBAAATAAAAAAAAAAAA&#10;AAAAAAAAAABbQ29udGVudF9UeXBlc10ueG1sUEsBAi0AFAAGAAgAAAAhAFr0LFu/AAAAFQEAAAsA&#10;AAAAAAAAAAAAAAAAHwEAAF9yZWxzLy5yZWxzUEsBAi0AFAAGAAgAAAAhANvoz8TEAAAA2gAAAA8A&#10;AAAAAAAAAAAAAAAABwIAAGRycy9kb3ducmV2LnhtbFBLBQYAAAAAAwADALcAAAD4AgAAAAA=&#10;" strokecolor="#0070c0" strokeweight="1pt">
                <v:stroke joinstyle="miter"/>
              </v:line>
              <v:oval id="Oval 3" o:spid="_x0000_s1028" style="position:absolute;left:1924;width:895;height:8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YrxgAAANoAAAAPAAAAZHJzL2Rvd25yZXYueG1sRI9Pa8JA&#10;FMTvhX6H5RV6KbqxFpHUVfxDwIoXExGPj+wzCc2+DdnVpH76bqHgcZiZ3zCzRW9qcaPWVZYVjIYR&#10;COLc6ooLBccsGUxBOI+ssbZMCn7IwWL+/DTDWNuOD3RLfSEChF2MCkrvm1hKl5dk0A1tQxy8i20N&#10;+iDbQuoWuwA3tXyPook0WHFYKLGhdUn5d3o1Cu7Jhr9Wh9X1tBu/TfKLve/250yp15d++QnCU+8f&#10;4f/2Viv4gL8r4QbI+S8AAAD//wMAUEsBAi0AFAAGAAgAAAAhANvh9svuAAAAhQEAABMAAAAAAAAA&#10;AAAAAAAAAAAAAFtDb250ZW50X1R5cGVzXS54bWxQSwECLQAUAAYACAAAACEAWvQsW78AAAAVAQAA&#10;CwAAAAAAAAAAAAAAAAAfAQAAX3JlbHMvLnJlbHNQSwECLQAUAAYACAAAACEAfioGK8YAAADaAAAA&#10;DwAAAAAAAAAAAAAAAAAHAgAAZHJzL2Rvd25yZXYueG1sUEsFBgAAAAADAAMAtwAAAPoCAAAAAA==&#10;" filled="f" strokecolor="#0070c0" strokeweight="2pt">
                <v:stroke joinstyle="miter"/>
              </v:oval>
              <w10:wrap anchorx="page" anchory="page"/>
            </v:group>
          </w:pict>
        </mc:Fallback>
      </mc:AlternateContent>
    </w:r>
    <w:r w:rsidRPr="00797BF5">
      <w:rPr>
        <w:rFonts w:ascii="Arial" w:hAnsi="Arial" w:cs="Arial"/>
        <w:b/>
        <w:noProof/>
        <w:lang w:eastAsia="en-AU"/>
      </w:rPr>
      <mc:AlternateContent>
        <mc:Choice Requires="wps">
          <w:drawing>
            <wp:anchor distT="0" distB="0" distL="114300" distR="114300" simplePos="0" relativeHeight="251658752" behindDoc="0" locked="0" layoutInCell="1" allowOverlap="1" wp14:anchorId="622839CF" wp14:editId="3C3EB30F">
              <wp:simplePos x="0" y="0"/>
              <wp:positionH relativeFrom="page">
                <wp:posOffset>3189426</wp:posOffset>
              </wp:positionH>
              <wp:positionV relativeFrom="page">
                <wp:posOffset>10116922</wp:posOffset>
              </wp:positionV>
              <wp:extent cx="3416199" cy="241300"/>
              <wp:effectExtent l="0" t="0" r="0" b="6350"/>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6199"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CD717B" w14:textId="77777777" w:rsidR="00AF0D4B" w:rsidRPr="00252FB7" w:rsidRDefault="00AF0D4B" w:rsidP="00AF0D4B">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22839CF" id="_x0000_t202" coordsize="21600,21600" o:spt="202" path="m,l,21600r21600,l21600,xe">
              <v:stroke joinstyle="miter"/>
              <v:path gradientshapeok="t" o:connecttype="rect"/>
            </v:shapetype>
            <v:shape id="_x0000_s1029" type="#_x0000_t202" style="position:absolute;left:0;text-align:left;margin-left:251.15pt;margin-top:796.6pt;width:269pt;height:19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DAr5QEAAKgDAAAOAAAAZHJzL2Uyb0RvYy54bWysU9tu2zAMfR+wfxD0vthOs24x4hRdiw4D&#10;ugvQ9QNkWbKF2aJGKbGzrx8lp2m2vRV7EURSPjznkN5cTUPP9gq9AVvxYpFzpqyExti24o/f7968&#10;58wHYRvRg1UVPyjPr7avX21GV6oldNA3ChmBWF+OruJdCK7MMi87NQi/AKcsFTXgIAKF2GYNipHQ&#10;hz5b5vllNgI2DkEq7yl7Oxf5NuFrrWT4qrVXgfUVJ24hnZjOOp7ZdiPKFoXrjDzSEC9gMQhjqekJ&#10;6lYEwXZo/oEajETwoMNCwpCB1kaqpIHUFPlfah464VTSQuZ4d7LJ/z9Y+WX/4L4hC9MHmGiASYR3&#10;9yB/eGbhphO2VdeIMHZKNNS4iJZlo/Pl8dNotS99BKnHz9DQkMUuQAKaNA7RFdLJCJ0GcDiZrqbA&#10;JCUvVsVlsV5zJqm2XBUXeZpKJsqnrx368FHBwOKl4khDTehif+9DZCPKpyexmYU70/dpsL39I0EP&#10;Yyaxj4Rn6mGqJ2Yaah6lRTE1NAeSgzCvC603XTrAX5yNtCoV9z93AhVn/SdLlqyL1SruVgpWb98t&#10;KcDzSn1eEVYSVMUDZ/P1Jsz7uHNo2o46zUOwcE02apMUPrM60qd1SMKPqxv37TxOr55/sO1vAAAA&#10;//8DAFBLAwQUAAYACAAAACEA/hYjKeEAAAAOAQAADwAAAGRycy9kb3ducmV2LnhtbEyPzU7DMBCE&#10;70h9B2uReqN2k6aiIU5VgXoFUX4kbm68TSLidRS7TXh7tie47e6MZr8ptpPrxAWH0HrSsFwoEEiV&#10;ty3VGt7f9nf3IEI0ZE3nCTX8YIBtObspTG79SK94OcRacAiF3GhoYuxzKUPVoDNh4Xsk1k5+cCby&#10;OtTSDmbkcNfJRKm1dKYl/tCYHh8brL4PZ6fh4/n09blSL/WTy/rRT0qS20it57fT7gFExCn+meGK&#10;z+hQMtPRn8kG0WnIVJKylYVskyYgrha1Unw78rROlwnIspD/a5S/AAAA//8DAFBLAQItABQABgAI&#10;AAAAIQC2gziS/gAAAOEBAAATAAAAAAAAAAAAAAAAAAAAAABbQ29udGVudF9UeXBlc10ueG1sUEsB&#10;Ai0AFAAGAAgAAAAhADj9If/WAAAAlAEAAAsAAAAAAAAAAAAAAAAALwEAAF9yZWxzLy5yZWxzUEsB&#10;Ai0AFAAGAAgAAAAhANgsMCvlAQAAqAMAAA4AAAAAAAAAAAAAAAAALgIAAGRycy9lMm9Eb2MueG1s&#10;UEsBAi0AFAAGAAgAAAAhAP4WIynhAAAADgEAAA8AAAAAAAAAAAAAAAAAPwQAAGRycy9kb3ducmV2&#10;LnhtbFBLBQYAAAAABAAEAPMAAABNBQAAAAA=&#10;" filled="f" stroked="f">
              <v:textbox>
                <w:txbxContent>
                  <w:p w14:paraId="69CD717B" w14:textId="77777777" w:rsidR="00AF0D4B" w:rsidRPr="00252FB7" w:rsidRDefault="00AF0D4B" w:rsidP="00AF0D4B">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v:textbox>
              <w10:wrap anchorx="page" anchory="page"/>
            </v:shape>
          </w:pict>
        </mc:Fallback>
      </mc:AlternateContent>
    </w:r>
    <w:r>
      <w:rPr>
        <w:rFonts w:ascii="Arial" w:hAnsi="Arial" w:cs="Arial"/>
        <w:b/>
      </w:rPr>
      <w:t xml:space="preserve"> </w:t>
    </w:r>
    <w:r>
      <w:rPr>
        <w:rFonts w:ascii="Arial" w:hAnsi="Arial" w:cs="Arial"/>
        <w:b/>
      </w:rPr>
      <w:tab/>
      <w:t xml:space="preserve">  </w:t>
    </w:r>
    <w:r w:rsidR="00AF0D4B" w:rsidRPr="00797BF5">
      <w:rPr>
        <w:rFonts w:ascii="Arial" w:hAnsi="Arial" w:cs="Arial"/>
        <w:b/>
      </w:rPr>
      <w:fldChar w:fldCharType="begin"/>
    </w:r>
    <w:r w:rsidR="00AF0D4B" w:rsidRPr="00797BF5">
      <w:rPr>
        <w:rFonts w:ascii="Arial" w:hAnsi="Arial" w:cs="Arial"/>
        <w:b/>
      </w:rPr>
      <w:instrText xml:space="preserve"> PAGE   \* MERGEFORMAT </w:instrText>
    </w:r>
    <w:r w:rsidR="00AF0D4B" w:rsidRPr="00797BF5">
      <w:rPr>
        <w:rFonts w:ascii="Arial" w:hAnsi="Arial" w:cs="Arial"/>
        <w:b/>
      </w:rPr>
      <w:fldChar w:fldCharType="separate"/>
    </w:r>
    <w:r w:rsidR="00DF39B8">
      <w:rPr>
        <w:rFonts w:ascii="Arial" w:hAnsi="Arial" w:cs="Arial"/>
        <w:b/>
        <w:noProof/>
      </w:rPr>
      <w:t>1</w:t>
    </w:r>
    <w:r w:rsidR="00AF0D4B" w:rsidRPr="00797BF5">
      <w:rPr>
        <w:rFonts w:ascii="Arial" w:hAnsi="Arial" w:cs="Arial"/>
        <w:b/>
        <w:noProof/>
      </w:rPr>
      <w:fldChar w:fldCharType="end"/>
    </w:r>
    <w:r w:rsidR="0005052D" w:rsidRPr="00797BF5">
      <w:rPr>
        <w:rFonts w:ascii="Arial" w:hAnsi="Arial" w:cs="Arial"/>
        <w:b/>
        <w:noProof/>
        <w:lang w:eastAsia="en-AU"/>
      </w:rPr>
      <w:drawing>
        <wp:anchor distT="0" distB="0" distL="114300" distR="114300" simplePos="0" relativeHeight="251657728" behindDoc="1" locked="0" layoutInCell="1" allowOverlap="1" wp14:anchorId="4C681FC3" wp14:editId="51976976">
          <wp:simplePos x="0" y="0"/>
          <wp:positionH relativeFrom="page">
            <wp:posOffset>528955</wp:posOffset>
          </wp:positionH>
          <wp:positionV relativeFrom="page">
            <wp:posOffset>9803765</wp:posOffset>
          </wp:positionV>
          <wp:extent cx="647700" cy="680085"/>
          <wp:effectExtent l="0" t="0" r="0" b="0"/>
          <wp:wrapNone/>
          <wp:docPr id="25"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7700" cy="68008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DB57838" w14:textId="77777777" w:rsidR="00336D8E" w:rsidRDefault="00336D8E" w:rsidP="00870475">
      <w:r>
        <w:separator/>
      </w:r>
    </w:p>
  </w:footnote>
  <w:footnote w:type="continuationSeparator" w:id="0">
    <w:p w14:paraId="0D5AA307" w14:textId="77777777" w:rsidR="00336D8E" w:rsidRDefault="00336D8E" w:rsidP="0087047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AF27DE" w14:textId="77777777" w:rsidR="008864A5" w:rsidRDefault="008864A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6D0BDD" w14:textId="77777777" w:rsidR="00AF0D4B" w:rsidRPr="00AF0D4B" w:rsidRDefault="0005052D" w:rsidP="00AF0D4B">
    <w:r>
      <w:rPr>
        <w:noProof/>
      </w:rPr>
      <w:drawing>
        <wp:anchor distT="0" distB="0" distL="114300" distR="114300" simplePos="0" relativeHeight="251656704" behindDoc="1" locked="0" layoutInCell="1" allowOverlap="1" wp14:anchorId="34EB4884" wp14:editId="4149D2C9">
          <wp:simplePos x="0" y="0"/>
          <wp:positionH relativeFrom="page">
            <wp:align>center</wp:align>
          </wp:positionH>
          <wp:positionV relativeFrom="page">
            <wp:posOffset>180340</wp:posOffset>
          </wp:positionV>
          <wp:extent cx="7094220" cy="1103630"/>
          <wp:effectExtent l="0" t="0" r="0" b="0"/>
          <wp:wrapNone/>
          <wp:docPr id="22" name="Picture 22" descr="RR-Blue-Header-95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RR-Blue-Header-950px"/>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94220" cy="110363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32DABA" w14:textId="7115FE20" w:rsidR="00AF0D4B" w:rsidRPr="00C12D98" w:rsidRDefault="008864A5" w:rsidP="00C12D98">
    <w:sdt>
      <w:sdtPr>
        <w:id w:val="-410700150"/>
        <w:docPartObj>
          <w:docPartGallery w:val="Watermarks"/>
          <w:docPartUnique/>
        </w:docPartObj>
      </w:sdtPr>
      <w:sdtContent>
        <w:r>
          <w:rPr>
            <w:noProof/>
          </w:rPr>
          <w:pict w14:anchorId="4AB813F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08425080" o:spid="_x0000_s1025" type="#_x0000_t136" style="position:absolute;margin-left:0;margin-top:0;width:537.1pt;height:100.7pt;rotation:315;z-index:-251652608;mso-position-horizontal:center;mso-position-horizontal-relative:margin;mso-position-vertical:center;mso-position-vertical-relative:margin" o:allowincell="f" fillcolor="silver" stroked="f">
              <v:fill opacity=".5"/>
              <v:textpath style="font-family:&quot;Calibri&quot;;font-size:1pt" string="Historical Document"/>
            </v:shape>
          </w:pict>
        </w:r>
      </w:sdtContent>
    </w:sdt>
    <w:r w:rsidR="0005052D">
      <w:rPr>
        <w:noProof/>
      </w:rPr>
      <mc:AlternateContent>
        <mc:Choice Requires="wps">
          <w:drawing>
            <wp:anchor distT="45720" distB="45720" distL="114300" distR="114300" simplePos="0" relativeHeight="251661824" behindDoc="0" locked="0" layoutInCell="1" allowOverlap="1" wp14:anchorId="121C6ED5" wp14:editId="67D4ACD4">
              <wp:simplePos x="0" y="0"/>
              <wp:positionH relativeFrom="column">
                <wp:posOffset>-130810</wp:posOffset>
              </wp:positionH>
              <wp:positionV relativeFrom="paragraph">
                <wp:posOffset>51435</wp:posOffset>
              </wp:positionV>
              <wp:extent cx="4385945" cy="570865"/>
              <wp:effectExtent l="12065" t="13335" r="12065" b="9525"/>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85945" cy="570865"/>
                      </a:xfrm>
                      <a:prstGeom prst="rect">
                        <a:avLst/>
                      </a:prstGeom>
                      <a:noFill/>
                      <a:ln w="9525">
                        <a:solidFill>
                          <a:srgbClr val="000000">
                            <a:alpha val="0"/>
                          </a:srgbClr>
                        </a:solidFill>
                        <a:miter lim="800000"/>
                        <a:headEnd/>
                        <a:tailEnd/>
                      </a:ln>
                      <a:extLst>
                        <a:ext uri="{909E8E84-426E-40DD-AFC4-6F175D3DCCD1}">
                          <a14:hiddenFill xmlns:a14="http://schemas.microsoft.com/office/drawing/2010/main">
                            <a:solidFill>
                              <a:srgbClr val="FFFFFF"/>
                            </a:solidFill>
                          </a14:hiddenFill>
                        </a:ext>
                      </a:extLst>
                    </wps:spPr>
                    <wps:txbx>
                      <w:txbxContent>
                        <w:p w14:paraId="3203EF04" w14:textId="77777777" w:rsidR="00C12D98" w:rsidRPr="0005052D" w:rsidRDefault="0005052D" w:rsidP="00C12D98">
                          <w:pPr>
                            <w:pStyle w:val="Reversetitlepage"/>
                            <w:rPr>
                              <w:rFonts w:ascii="Gibson" w:hAnsi="Gibson"/>
                              <w:b/>
                              <w:color w:val="FFFFFF"/>
                              <w:sz w:val="56"/>
                              <w:szCs w:val="56"/>
                            </w:rPr>
                          </w:pPr>
                          <w:r w:rsidRPr="0005052D">
                            <w:rPr>
                              <w:rFonts w:ascii="Gibson" w:hAnsi="Gibson"/>
                              <w:b/>
                              <w:color w:val="FFFFFF"/>
                              <w:sz w:val="56"/>
                              <w:szCs w:val="56"/>
                            </w:rPr>
                            <w:t>Instructions</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121C6ED5" id="_x0000_t202" coordsize="21600,21600" o:spt="202" path="m,l,21600r21600,l21600,xe">
              <v:stroke joinstyle="miter"/>
              <v:path gradientshapeok="t" o:connecttype="rect"/>
            </v:shapetype>
            <v:shape id="_x0000_s1028" type="#_x0000_t202" style="position:absolute;margin-left:-10.3pt;margin-top:4.05pt;width:345.35pt;height:44.95pt;z-index:25166182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Z9hHwIAACYEAAAOAAAAZHJzL2Uyb0RvYy54bWysU9tu2zAMfR+wfxD0vjjJ4jYx4hRdugwD&#10;ugvQ7QMUWY6FyaJGKbG7rx8lO2mwvQ3zg0CK8iF5eLi+61vDTgq9Blvy2WTKmbISKm0PJf/+bfdm&#10;yZkPwlbCgFUlf1ae321ev1p3rlBzaMBUChmBWF90ruRNCK7IMi8b1Qo/AacsBWvAVgRy8ZBVKDpC&#10;b002n05vsg6wcghSeU+3D0OQbxJ+XSsZvtS1V4GZklNtIZ2Yzn08s81aFAcUrtFyLEP8QxWt0JaS&#10;XqAeRBDsiPovqFZLBA91mEhoM6hrLVXqgbqZTf/o5qkRTqVeiBzvLjT5/wcrP5+e3FdkoX8HPQ0w&#10;NeHdI8gfnlnYNsIe1D0idI0SFSWeRcqyzvli/DVS7QsfQfbdJ6hoyOIYIAH1NbaRFeqTEToN4PlC&#10;uuoDk3S5eLvMV4ucM0mx/Ha6vMlTClGc/3bowwcFLYtGyZGGmtDF6dGHWI0ozk9iMgs7bUwarLGs&#10;K/kqn+dDX2B0FYPxmcfDfmuQnUSURvoGVOMaMd6OhYxPUyZ/jdHqQOo1ui35ckBIaSNV722V7CC0&#10;GWwq09iRu0jXQFzo9z3T1UhspHIP1TORiTCIlZaLjAbwF2cdCbXk/udRoOLMfLQ0kNVssYjKTs4i&#10;v52Tg9eR/XVEWElQJQ+cDeY2DNtwdKgPDWU6S+CehrjTid+XqsbySYyJjHFxotqv/fTqZb03vwEA&#10;AP//AwBQSwMEFAAGAAgAAAAhAIIdAcvfAAAACAEAAA8AAABkcnMvZG93bnJldi54bWxMj81OwzAQ&#10;hO9IvIO1SNxauz2kaYhTVfxJkZCghQdw4yWJiNdR7LQJT89ygtusZjTzbb6bXCfOOITWk4bVUoFA&#10;qrxtqdbw8f60SEGEaMiazhNqmDHArri+yk1m/YUOeD7GWnAJhcxoaGLsMylD1aAzYel7JPY+/eBM&#10;5HOopR3MhctdJ9dKJdKZlnihMT3eN1h9HUen4fVts30s7ff8LPfzfMCXcsSHUuvbm2l/ByLiFP/C&#10;8IvP6FAw08mPZIPoNCzWKuGohnQFgv1ko1icNGxTBbLI5f8Hih8AAAD//wMAUEsBAi0AFAAGAAgA&#10;AAAhALaDOJL+AAAA4QEAABMAAAAAAAAAAAAAAAAAAAAAAFtDb250ZW50X1R5cGVzXS54bWxQSwEC&#10;LQAUAAYACAAAACEAOP0h/9YAAACUAQAACwAAAAAAAAAAAAAAAAAvAQAAX3JlbHMvLnJlbHNQSwEC&#10;LQAUAAYACAAAACEA5gWfYR8CAAAmBAAADgAAAAAAAAAAAAAAAAAuAgAAZHJzL2Uyb0RvYy54bWxQ&#10;SwECLQAUAAYACAAAACEAgh0By98AAAAIAQAADwAAAAAAAAAAAAAAAAB5BAAAZHJzL2Rvd25yZXYu&#10;eG1sUEsFBgAAAAAEAAQA8wAAAIUFAAAAAA==&#10;" filled="f">
              <v:stroke opacity="0"/>
              <v:textbox style="mso-fit-shape-to-text:t">
                <w:txbxContent>
                  <w:p w14:paraId="3203EF04" w14:textId="77777777" w:rsidR="00C12D98" w:rsidRPr="0005052D" w:rsidRDefault="0005052D" w:rsidP="00C12D98">
                    <w:pPr>
                      <w:pStyle w:val="Reversetitlepage"/>
                      <w:rPr>
                        <w:rFonts w:ascii="Gibson" w:hAnsi="Gibson"/>
                        <w:b/>
                        <w:color w:val="FFFFFF"/>
                        <w:sz w:val="56"/>
                        <w:szCs w:val="56"/>
                      </w:rPr>
                    </w:pPr>
                    <w:r w:rsidRPr="0005052D">
                      <w:rPr>
                        <w:rFonts w:ascii="Gibson" w:hAnsi="Gibson"/>
                        <w:b/>
                        <w:color w:val="FFFFFF"/>
                        <w:sz w:val="56"/>
                        <w:szCs w:val="56"/>
                      </w:rPr>
                      <w:t>Instructions</w:t>
                    </w:r>
                  </w:p>
                </w:txbxContent>
              </v:textbox>
              <w10:wrap type="square"/>
            </v:shape>
          </w:pict>
        </mc:Fallback>
      </mc:AlternateContent>
    </w:r>
    <w:r w:rsidR="0005052D">
      <w:rPr>
        <w:noProof/>
      </w:rPr>
      <w:drawing>
        <wp:anchor distT="0" distB="0" distL="114300" distR="114300" simplePos="0" relativeHeight="251660800" behindDoc="1" locked="0" layoutInCell="1" allowOverlap="1" wp14:anchorId="64F73DD8" wp14:editId="7C0C78D5">
          <wp:simplePos x="0" y="0"/>
          <wp:positionH relativeFrom="page">
            <wp:align>center</wp:align>
          </wp:positionH>
          <wp:positionV relativeFrom="page">
            <wp:posOffset>180340</wp:posOffset>
          </wp:positionV>
          <wp:extent cx="7094220" cy="1103630"/>
          <wp:effectExtent l="0" t="0" r="0" b="0"/>
          <wp:wrapNone/>
          <wp:docPr id="24" name="Picture 24" descr="RR-Blue-Header-95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RR-Blue-Header-950px"/>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94220" cy="110363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7B2ACD"/>
    <w:multiLevelType w:val="hybridMultilevel"/>
    <w:tmpl w:val="6D6AE99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8734F16"/>
    <w:multiLevelType w:val="multilevel"/>
    <w:tmpl w:val="C12C2C6E"/>
    <w:lvl w:ilvl="0">
      <w:start w:val="1"/>
      <w:numFmt w:val="decimal"/>
      <w:pStyle w:val="Numberedlist"/>
      <w:lvlText w:val="%1."/>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ascii="Arial" w:hAnsi="Arial" w:hint="default"/>
        <w:b/>
        <w:i w:val="0"/>
        <w:sz w:val="22"/>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2" w15:restartNumberingAfterBreak="0">
    <w:nsid w:val="0C0C5A50"/>
    <w:multiLevelType w:val="multilevel"/>
    <w:tmpl w:val="C3761526"/>
    <w:lvl w:ilvl="0">
      <w:start w:val="1"/>
      <w:numFmt w:val="bullet"/>
      <w:pStyle w:val="Bullet"/>
      <w:lvlText w:val=""/>
      <w:lvlJc w:val="left"/>
      <w:pPr>
        <w:tabs>
          <w:tab w:val="num" w:pos="720"/>
        </w:tabs>
        <w:ind w:left="720" w:hanging="720"/>
      </w:pPr>
      <w:rPr>
        <w:rFonts w:ascii="Symbol" w:hAnsi="Symbol" w:hint="default"/>
      </w:rPr>
    </w:lvl>
    <w:lvl w:ilvl="1">
      <w:start w:val="1"/>
      <w:numFmt w:val="decimal"/>
      <w:lvlText w:val="%1.%2"/>
      <w:lvlJc w:val="left"/>
      <w:pPr>
        <w:tabs>
          <w:tab w:val="num" w:pos="1440"/>
        </w:tabs>
        <w:ind w:left="1440" w:hanging="720"/>
      </w:pPr>
      <w:rPr>
        <w:rFonts w:ascii="Arial" w:hAnsi="Arial" w:hint="default"/>
        <w:b/>
        <w:i w:val="0"/>
        <w:sz w:val="22"/>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3" w15:restartNumberingAfterBreak="0">
    <w:nsid w:val="1DD51CB8"/>
    <w:multiLevelType w:val="multilevel"/>
    <w:tmpl w:val="3DBEF714"/>
    <w:lvl w:ilvl="0">
      <w:start w:val="1"/>
      <w:numFmt w:val="decimal"/>
      <w:pStyle w:val="Headingnumber1"/>
      <w:suff w:val="space"/>
      <w:lvlText w:val="%1."/>
      <w:lvlJc w:val="left"/>
      <w:pPr>
        <w:ind w:left="360" w:hanging="360"/>
      </w:pPr>
      <w:rPr>
        <w:rFonts w:hint="default"/>
      </w:rPr>
    </w:lvl>
    <w:lvl w:ilvl="1">
      <w:start w:val="1"/>
      <w:numFmt w:val="decimal"/>
      <w:pStyle w:val="Headingnumber2"/>
      <w:suff w:val="space"/>
      <w:lvlText w:val="%1.%2."/>
      <w:lvlJc w:val="left"/>
      <w:pPr>
        <w:ind w:left="792" w:hanging="432"/>
      </w:pPr>
      <w:rPr>
        <w:rFonts w:hint="default"/>
      </w:rPr>
    </w:lvl>
    <w:lvl w:ilvl="2">
      <w:start w:val="1"/>
      <w:numFmt w:val="decimal"/>
      <w:pStyle w:val="Headingnumber3"/>
      <w:suff w:val="space"/>
      <w:lvlText w:val="%1.%2.%3."/>
      <w:lvlJc w:val="left"/>
      <w:pPr>
        <w:ind w:left="1224" w:hanging="504"/>
      </w:pPr>
      <w:rPr>
        <w:rFonts w:hint="default"/>
      </w:rPr>
    </w:lvl>
    <w:lvl w:ilvl="3">
      <w:start w:val="1"/>
      <w:numFmt w:val="decimal"/>
      <w:pStyle w:val="Headingnumber4"/>
      <w:suff w:val="space"/>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26320B32"/>
    <w:multiLevelType w:val="multilevel"/>
    <w:tmpl w:val="860C1FFC"/>
    <w:lvl w:ilvl="0">
      <w:start w:val="1"/>
      <w:numFmt w:val="decimal"/>
      <w:lvlText w:val="%1.0"/>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ascii="Arial" w:hAnsi="Arial" w:hint="default"/>
        <w:b/>
        <w:i w:val="0"/>
        <w:sz w:val="22"/>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5" w15:restartNumberingAfterBreak="0">
    <w:nsid w:val="3F206B1F"/>
    <w:multiLevelType w:val="multilevel"/>
    <w:tmpl w:val="4558C1D6"/>
    <w:lvl w:ilvl="0">
      <w:start w:val="1"/>
      <w:numFmt w:val="decimal"/>
      <w:lvlText w:val="%1."/>
      <w:lvlJc w:val="left"/>
      <w:pPr>
        <w:tabs>
          <w:tab w:val="num" w:pos="720"/>
        </w:tabs>
        <w:ind w:left="720" w:hanging="720"/>
      </w:pPr>
      <w:rPr>
        <w:rFonts w:hint="default"/>
        <w:b w:val="0"/>
      </w:rPr>
    </w:lvl>
    <w:lvl w:ilvl="1">
      <w:start w:val="1"/>
      <w:numFmt w:val="decimal"/>
      <w:lvlText w:val="%1.%2"/>
      <w:lvlJc w:val="left"/>
      <w:pPr>
        <w:tabs>
          <w:tab w:val="num" w:pos="1440"/>
        </w:tabs>
        <w:ind w:left="1440" w:hanging="720"/>
      </w:pPr>
      <w:rPr>
        <w:rFonts w:ascii="Arial" w:hAnsi="Arial" w:hint="default"/>
        <w:b/>
        <w:i w:val="0"/>
        <w:sz w:val="22"/>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6" w15:restartNumberingAfterBreak="0">
    <w:nsid w:val="424B08D6"/>
    <w:multiLevelType w:val="hybridMultilevel"/>
    <w:tmpl w:val="FCB083FC"/>
    <w:lvl w:ilvl="0" w:tplc="FD0434FE">
      <w:start w:val="1"/>
      <w:numFmt w:val="bullet"/>
      <w:lvlText w:val=""/>
      <w:lvlJc w:val="left"/>
      <w:pPr>
        <w:ind w:left="1080" w:hanging="360"/>
      </w:pPr>
      <w:rPr>
        <w:rFonts w:ascii="Symbol" w:hAnsi="Symbol" w:hint="default"/>
        <w:color w:val="117DBB"/>
      </w:rPr>
    </w:lvl>
    <w:lvl w:ilvl="1" w:tplc="0C090003">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7" w15:restartNumberingAfterBreak="0">
    <w:nsid w:val="68C356B1"/>
    <w:multiLevelType w:val="hybridMultilevel"/>
    <w:tmpl w:val="2D28BB5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6E561CEC"/>
    <w:multiLevelType w:val="hybridMultilevel"/>
    <w:tmpl w:val="91108FBA"/>
    <w:lvl w:ilvl="0" w:tplc="0C09000D">
      <w:start w:val="1"/>
      <w:numFmt w:val="bullet"/>
      <w:lvlText w:val=""/>
      <w:lvlJc w:val="left"/>
      <w:pPr>
        <w:ind w:left="785" w:hanging="360"/>
      </w:pPr>
      <w:rPr>
        <w:rFonts w:ascii="Wingdings" w:hAnsi="Wingdings" w:hint="default"/>
      </w:rPr>
    </w:lvl>
    <w:lvl w:ilvl="1" w:tplc="0C090003" w:tentative="1">
      <w:start w:val="1"/>
      <w:numFmt w:val="bullet"/>
      <w:lvlText w:val="o"/>
      <w:lvlJc w:val="left"/>
      <w:pPr>
        <w:ind w:left="1364" w:hanging="360"/>
      </w:pPr>
      <w:rPr>
        <w:rFonts w:ascii="Courier New" w:hAnsi="Courier New" w:cs="Courier New" w:hint="default"/>
      </w:rPr>
    </w:lvl>
    <w:lvl w:ilvl="2" w:tplc="0C090005" w:tentative="1">
      <w:start w:val="1"/>
      <w:numFmt w:val="bullet"/>
      <w:lvlText w:val=""/>
      <w:lvlJc w:val="left"/>
      <w:pPr>
        <w:ind w:left="2084" w:hanging="360"/>
      </w:pPr>
      <w:rPr>
        <w:rFonts w:ascii="Wingdings" w:hAnsi="Wingdings" w:hint="default"/>
      </w:rPr>
    </w:lvl>
    <w:lvl w:ilvl="3" w:tplc="0C090001" w:tentative="1">
      <w:start w:val="1"/>
      <w:numFmt w:val="bullet"/>
      <w:lvlText w:val=""/>
      <w:lvlJc w:val="left"/>
      <w:pPr>
        <w:ind w:left="2804" w:hanging="360"/>
      </w:pPr>
      <w:rPr>
        <w:rFonts w:ascii="Symbol" w:hAnsi="Symbol" w:hint="default"/>
      </w:rPr>
    </w:lvl>
    <w:lvl w:ilvl="4" w:tplc="0C090003" w:tentative="1">
      <w:start w:val="1"/>
      <w:numFmt w:val="bullet"/>
      <w:lvlText w:val="o"/>
      <w:lvlJc w:val="left"/>
      <w:pPr>
        <w:ind w:left="3524" w:hanging="360"/>
      </w:pPr>
      <w:rPr>
        <w:rFonts w:ascii="Courier New" w:hAnsi="Courier New" w:cs="Courier New" w:hint="default"/>
      </w:rPr>
    </w:lvl>
    <w:lvl w:ilvl="5" w:tplc="0C090005" w:tentative="1">
      <w:start w:val="1"/>
      <w:numFmt w:val="bullet"/>
      <w:lvlText w:val=""/>
      <w:lvlJc w:val="left"/>
      <w:pPr>
        <w:ind w:left="4244" w:hanging="360"/>
      </w:pPr>
      <w:rPr>
        <w:rFonts w:ascii="Wingdings" w:hAnsi="Wingdings" w:hint="default"/>
      </w:rPr>
    </w:lvl>
    <w:lvl w:ilvl="6" w:tplc="0C090001" w:tentative="1">
      <w:start w:val="1"/>
      <w:numFmt w:val="bullet"/>
      <w:lvlText w:val=""/>
      <w:lvlJc w:val="left"/>
      <w:pPr>
        <w:ind w:left="4964" w:hanging="360"/>
      </w:pPr>
      <w:rPr>
        <w:rFonts w:ascii="Symbol" w:hAnsi="Symbol" w:hint="default"/>
      </w:rPr>
    </w:lvl>
    <w:lvl w:ilvl="7" w:tplc="0C090003" w:tentative="1">
      <w:start w:val="1"/>
      <w:numFmt w:val="bullet"/>
      <w:lvlText w:val="o"/>
      <w:lvlJc w:val="left"/>
      <w:pPr>
        <w:ind w:left="5684" w:hanging="360"/>
      </w:pPr>
      <w:rPr>
        <w:rFonts w:ascii="Courier New" w:hAnsi="Courier New" w:cs="Courier New" w:hint="default"/>
      </w:rPr>
    </w:lvl>
    <w:lvl w:ilvl="8" w:tplc="0C090005" w:tentative="1">
      <w:start w:val="1"/>
      <w:numFmt w:val="bullet"/>
      <w:lvlText w:val=""/>
      <w:lvlJc w:val="left"/>
      <w:pPr>
        <w:ind w:left="6404" w:hanging="360"/>
      </w:pPr>
      <w:rPr>
        <w:rFonts w:ascii="Wingdings" w:hAnsi="Wingdings" w:hint="default"/>
      </w:rPr>
    </w:lvl>
  </w:abstractNum>
  <w:num w:numId="1" w16cid:durableId="1660765509">
    <w:abstractNumId w:val="6"/>
  </w:num>
  <w:num w:numId="2" w16cid:durableId="1895309074">
    <w:abstractNumId w:val="6"/>
  </w:num>
  <w:num w:numId="3" w16cid:durableId="953829649">
    <w:abstractNumId w:val="0"/>
  </w:num>
  <w:num w:numId="4" w16cid:durableId="956958096">
    <w:abstractNumId w:val="3"/>
  </w:num>
  <w:num w:numId="5" w16cid:durableId="385758043">
    <w:abstractNumId w:val="4"/>
  </w:num>
  <w:num w:numId="6" w16cid:durableId="1036344781">
    <w:abstractNumId w:val="5"/>
  </w:num>
  <w:num w:numId="7" w16cid:durableId="338312594">
    <w:abstractNumId w:val="2"/>
  </w:num>
  <w:num w:numId="8" w16cid:durableId="850097345">
    <w:abstractNumId w:val="8"/>
  </w:num>
  <w:num w:numId="9" w16cid:durableId="1548446520">
    <w:abstractNumId w:val="1"/>
  </w:num>
  <w:num w:numId="10" w16cid:durableId="407307876">
    <w:abstractNumId w:val="2"/>
  </w:num>
  <w:num w:numId="11" w16cid:durableId="1519346740">
    <w:abstractNumId w:val="2"/>
  </w:num>
  <w:num w:numId="12" w16cid:durableId="6250550">
    <w:abstractNumId w:val="2"/>
  </w:num>
  <w:num w:numId="13" w16cid:durableId="124946076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gutterAtTop/>
  <w:proofState w:spelling="clean" w:grammar="clean"/>
  <w:attachedTemplate r:id="rId1"/>
  <w:stylePaneSortMethod w:val="0000"/>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34654"/>
    <w:rsid w:val="000136E4"/>
    <w:rsid w:val="0005052D"/>
    <w:rsid w:val="00051FB0"/>
    <w:rsid w:val="000553C0"/>
    <w:rsid w:val="00063866"/>
    <w:rsid w:val="00071DD1"/>
    <w:rsid w:val="00080F9A"/>
    <w:rsid w:val="000814C9"/>
    <w:rsid w:val="000A52E3"/>
    <w:rsid w:val="000B5D4D"/>
    <w:rsid w:val="000C3F22"/>
    <w:rsid w:val="000C4D13"/>
    <w:rsid w:val="000D1266"/>
    <w:rsid w:val="000D2029"/>
    <w:rsid w:val="00103336"/>
    <w:rsid w:val="00115A9F"/>
    <w:rsid w:val="00121FC5"/>
    <w:rsid w:val="00125AE3"/>
    <w:rsid w:val="00140412"/>
    <w:rsid w:val="001425BA"/>
    <w:rsid w:val="00144B7B"/>
    <w:rsid w:val="0015020B"/>
    <w:rsid w:val="0015218A"/>
    <w:rsid w:val="00157B1E"/>
    <w:rsid w:val="00171EA8"/>
    <w:rsid w:val="001730AE"/>
    <w:rsid w:val="00175C56"/>
    <w:rsid w:val="00187C40"/>
    <w:rsid w:val="00191420"/>
    <w:rsid w:val="001A291F"/>
    <w:rsid w:val="001A2F07"/>
    <w:rsid w:val="001A4A83"/>
    <w:rsid w:val="001C02CD"/>
    <w:rsid w:val="001C051D"/>
    <w:rsid w:val="001C0DEB"/>
    <w:rsid w:val="001C64CE"/>
    <w:rsid w:val="001D06E1"/>
    <w:rsid w:val="001D5170"/>
    <w:rsid w:val="001E423A"/>
    <w:rsid w:val="001E5DC9"/>
    <w:rsid w:val="002100B0"/>
    <w:rsid w:val="00221A19"/>
    <w:rsid w:val="002272F4"/>
    <w:rsid w:val="0023752D"/>
    <w:rsid w:val="002376B4"/>
    <w:rsid w:val="0025015C"/>
    <w:rsid w:val="00252FB7"/>
    <w:rsid w:val="00253965"/>
    <w:rsid w:val="0027446D"/>
    <w:rsid w:val="00276E57"/>
    <w:rsid w:val="002903A6"/>
    <w:rsid w:val="00295B2A"/>
    <w:rsid w:val="002B2F95"/>
    <w:rsid w:val="002B667D"/>
    <w:rsid w:val="002C4D41"/>
    <w:rsid w:val="002E7B51"/>
    <w:rsid w:val="0032082E"/>
    <w:rsid w:val="00334654"/>
    <w:rsid w:val="00336D8E"/>
    <w:rsid w:val="003711CE"/>
    <w:rsid w:val="00390AD1"/>
    <w:rsid w:val="003977A6"/>
    <w:rsid w:val="003C4B34"/>
    <w:rsid w:val="003E26A3"/>
    <w:rsid w:val="003F198D"/>
    <w:rsid w:val="003F303E"/>
    <w:rsid w:val="003F419E"/>
    <w:rsid w:val="004048A5"/>
    <w:rsid w:val="0041264E"/>
    <w:rsid w:val="004209F1"/>
    <w:rsid w:val="004327C0"/>
    <w:rsid w:val="00440763"/>
    <w:rsid w:val="004438A7"/>
    <w:rsid w:val="004458ED"/>
    <w:rsid w:val="00450475"/>
    <w:rsid w:val="004611B1"/>
    <w:rsid w:val="00494E8C"/>
    <w:rsid w:val="004A6347"/>
    <w:rsid w:val="004E336A"/>
    <w:rsid w:val="004E43CC"/>
    <w:rsid w:val="004F7E00"/>
    <w:rsid w:val="00510902"/>
    <w:rsid w:val="00516517"/>
    <w:rsid w:val="005241C3"/>
    <w:rsid w:val="00543D29"/>
    <w:rsid w:val="005448F4"/>
    <w:rsid w:val="00552143"/>
    <w:rsid w:val="00553161"/>
    <w:rsid w:val="00571A6F"/>
    <w:rsid w:val="005838DC"/>
    <w:rsid w:val="00587395"/>
    <w:rsid w:val="00590982"/>
    <w:rsid w:val="005B23E6"/>
    <w:rsid w:val="005C174A"/>
    <w:rsid w:val="005D1BFF"/>
    <w:rsid w:val="005D6E77"/>
    <w:rsid w:val="005E7C45"/>
    <w:rsid w:val="00604D0E"/>
    <w:rsid w:val="006140F3"/>
    <w:rsid w:val="0063069B"/>
    <w:rsid w:val="006347C4"/>
    <w:rsid w:val="006465A6"/>
    <w:rsid w:val="0065479E"/>
    <w:rsid w:val="00663994"/>
    <w:rsid w:val="0067629F"/>
    <w:rsid w:val="00682DC1"/>
    <w:rsid w:val="00686E98"/>
    <w:rsid w:val="00697123"/>
    <w:rsid w:val="006A6577"/>
    <w:rsid w:val="006A749D"/>
    <w:rsid w:val="006B605D"/>
    <w:rsid w:val="006B7C5D"/>
    <w:rsid w:val="006D57F9"/>
    <w:rsid w:val="006F0894"/>
    <w:rsid w:val="006F2BF5"/>
    <w:rsid w:val="006F41A2"/>
    <w:rsid w:val="006F5638"/>
    <w:rsid w:val="00754464"/>
    <w:rsid w:val="0076239B"/>
    <w:rsid w:val="007648E1"/>
    <w:rsid w:val="007733FC"/>
    <w:rsid w:val="00781D50"/>
    <w:rsid w:val="007905FE"/>
    <w:rsid w:val="00791BE2"/>
    <w:rsid w:val="00797BF5"/>
    <w:rsid w:val="007A580F"/>
    <w:rsid w:val="007B2D74"/>
    <w:rsid w:val="007C035A"/>
    <w:rsid w:val="007C04C6"/>
    <w:rsid w:val="007F7122"/>
    <w:rsid w:val="007F7DA6"/>
    <w:rsid w:val="008012C8"/>
    <w:rsid w:val="008108AC"/>
    <w:rsid w:val="00827381"/>
    <w:rsid w:val="008428C7"/>
    <w:rsid w:val="00870475"/>
    <w:rsid w:val="00875464"/>
    <w:rsid w:val="0087676B"/>
    <w:rsid w:val="0088241A"/>
    <w:rsid w:val="0088253F"/>
    <w:rsid w:val="008864A5"/>
    <w:rsid w:val="008A0BF6"/>
    <w:rsid w:val="008B100C"/>
    <w:rsid w:val="008B5FF0"/>
    <w:rsid w:val="008D0020"/>
    <w:rsid w:val="008D463F"/>
    <w:rsid w:val="008F6767"/>
    <w:rsid w:val="008F705B"/>
    <w:rsid w:val="00905A44"/>
    <w:rsid w:val="00914241"/>
    <w:rsid w:val="00920DC2"/>
    <w:rsid w:val="00932866"/>
    <w:rsid w:val="00937F7D"/>
    <w:rsid w:val="00942A8F"/>
    <w:rsid w:val="00957095"/>
    <w:rsid w:val="00961E16"/>
    <w:rsid w:val="009633CA"/>
    <w:rsid w:val="00963DC9"/>
    <w:rsid w:val="00967FD7"/>
    <w:rsid w:val="009A27B2"/>
    <w:rsid w:val="009B591D"/>
    <w:rsid w:val="009C0F5D"/>
    <w:rsid w:val="009C11A2"/>
    <w:rsid w:val="009C20D8"/>
    <w:rsid w:val="009C62DE"/>
    <w:rsid w:val="009D557D"/>
    <w:rsid w:val="009E04B4"/>
    <w:rsid w:val="009F2B2E"/>
    <w:rsid w:val="00A00BC5"/>
    <w:rsid w:val="00A03558"/>
    <w:rsid w:val="00A31C0A"/>
    <w:rsid w:val="00A33092"/>
    <w:rsid w:val="00A3606B"/>
    <w:rsid w:val="00A367D5"/>
    <w:rsid w:val="00A44B6D"/>
    <w:rsid w:val="00A45D78"/>
    <w:rsid w:val="00A70FF0"/>
    <w:rsid w:val="00A73165"/>
    <w:rsid w:val="00A74DD7"/>
    <w:rsid w:val="00A77CFA"/>
    <w:rsid w:val="00A80F8B"/>
    <w:rsid w:val="00A86274"/>
    <w:rsid w:val="00AA3517"/>
    <w:rsid w:val="00AB0350"/>
    <w:rsid w:val="00AF0D4B"/>
    <w:rsid w:val="00B068FF"/>
    <w:rsid w:val="00B1357A"/>
    <w:rsid w:val="00B16E47"/>
    <w:rsid w:val="00B20347"/>
    <w:rsid w:val="00B3202B"/>
    <w:rsid w:val="00B37BD7"/>
    <w:rsid w:val="00B656A0"/>
    <w:rsid w:val="00B72A32"/>
    <w:rsid w:val="00B74998"/>
    <w:rsid w:val="00B86C7A"/>
    <w:rsid w:val="00BA22CA"/>
    <w:rsid w:val="00BB0D31"/>
    <w:rsid w:val="00BB3C59"/>
    <w:rsid w:val="00BB5F3C"/>
    <w:rsid w:val="00BF1358"/>
    <w:rsid w:val="00BF62F2"/>
    <w:rsid w:val="00C12D98"/>
    <w:rsid w:val="00C53CD0"/>
    <w:rsid w:val="00C54830"/>
    <w:rsid w:val="00C60FB8"/>
    <w:rsid w:val="00C64C27"/>
    <w:rsid w:val="00C64D7A"/>
    <w:rsid w:val="00C66FE6"/>
    <w:rsid w:val="00C70901"/>
    <w:rsid w:val="00C904B8"/>
    <w:rsid w:val="00C94F8A"/>
    <w:rsid w:val="00CA0C36"/>
    <w:rsid w:val="00CC4530"/>
    <w:rsid w:val="00CD414A"/>
    <w:rsid w:val="00CF5B40"/>
    <w:rsid w:val="00D0120D"/>
    <w:rsid w:val="00D0606A"/>
    <w:rsid w:val="00D161CC"/>
    <w:rsid w:val="00D32AFA"/>
    <w:rsid w:val="00D40061"/>
    <w:rsid w:val="00D40B42"/>
    <w:rsid w:val="00D4317C"/>
    <w:rsid w:val="00D474EF"/>
    <w:rsid w:val="00D527A3"/>
    <w:rsid w:val="00D56299"/>
    <w:rsid w:val="00D71082"/>
    <w:rsid w:val="00D72913"/>
    <w:rsid w:val="00D83388"/>
    <w:rsid w:val="00D87942"/>
    <w:rsid w:val="00D91158"/>
    <w:rsid w:val="00DA04EE"/>
    <w:rsid w:val="00DB6259"/>
    <w:rsid w:val="00DC249D"/>
    <w:rsid w:val="00DC73DE"/>
    <w:rsid w:val="00DD23AC"/>
    <w:rsid w:val="00DD5122"/>
    <w:rsid w:val="00DE09EC"/>
    <w:rsid w:val="00DF39B8"/>
    <w:rsid w:val="00E00DFA"/>
    <w:rsid w:val="00E108CC"/>
    <w:rsid w:val="00E41FA0"/>
    <w:rsid w:val="00E5425B"/>
    <w:rsid w:val="00E55251"/>
    <w:rsid w:val="00E70942"/>
    <w:rsid w:val="00E754F0"/>
    <w:rsid w:val="00E859D1"/>
    <w:rsid w:val="00EA1E5E"/>
    <w:rsid w:val="00EA2106"/>
    <w:rsid w:val="00EC32FE"/>
    <w:rsid w:val="00EC3D71"/>
    <w:rsid w:val="00EC7259"/>
    <w:rsid w:val="00EF6674"/>
    <w:rsid w:val="00F1318D"/>
    <w:rsid w:val="00F20987"/>
    <w:rsid w:val="00F24354"/>
    <w:rsid w:val="00F32ABB"/>
    <w:rsid w:val="00F55D51"/>
    <w:rsid w:val="00F75412"/>
    <w:rsid w:val="00F764F7"/>
    <w:rsid w:val="00F96821"/>
    <w:rsid w:val="00FA4C22"/>
    <w:rsid w:val="00FB0F04"/>
    <w:rsid w:val="00FB314F"/>
    <w:rsid w:val="00FE4B05"/>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9838E50"/>
  <w15:chartTrackingRefBased/>
  <w15:docId w15:val="{0E877120-D0D9-4988-B5BB-DAC27AE96A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en-AU" w:eastAsia="en-AU"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uiPriority="9" w:qFormat="1"/>
    <w:lsdException w:name="heading 6" w:semiHidden="1" w:uiPriority="9" w:unhideWhenUsed="1" w:qFormat="1"/>
    <w:lsdException w:name="heading 7" w:semiHidden="1" w:uiPriority="9"/>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lsdException w:name="Emphasis" w:semiHidden="1"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34654"/>
    <w:rPr>
      <w:rFonts w:ascii="Times New Roman" w:eastAsia="Times New Roman" w:hAnsi="Times New Roman"/>
      <w:sz w:val="24"/>
      <w:szCs w:val="24"/>
      <w:lang w:eastAsia="en-US"/>
    </w:rPr>
  </w:style>
  <w:style w:type="paragraph" w:styleId="Heading1">
    <w:name w:val="heading 1"/>
    <w:basedOn w:val="Normal"/>
    <w:next w:val="BodyText"/>
    <w:link w:val="Heading1Char"/>
    <w:uiPriority w:val="99"/>
    <w:qFormat/>
    <w:rsid w:val="00CF5B40"/>
    <w:pPr>
      <w:spacing w:before="360" w:after="120"/>
      <w:outlineLvl w:val="0"/>
    </w:pPr>
    <w:rPr>
      <w:rFonts w:ascii="Gibson" w:hAnsi="Gibson"/>
      <w:color w:val="062539"/>
      <w:sz w:val="48"/>
      <w:szCs w:val="60"/>
    </w:rPr>
  </w:style>
  <w:style w:type="paragraph" w:styleId="Heading2">
    <w:name w:val="heading 2"/>
    <w:basedOn w:val="Normal"/>
    <w:next w:val="BodyText"/>
    <w:link w:val="Heading2Char"/>
    <w:uiPriority w:val="9"/>
    <w:qFormat/>
    <w:rsid w:val="00CF5B40"/>
    <w:pPr>
      <w:spacing w:before="360" w:after="120"/>
      <w:outlineLvl w:val="1"/>
    </w:pPr>
    <w:rPr>
      <w:rFonts w:ascii="Gibson" w:hAnsi="Gibson"/>
      <w:bCs/>
      <w:color w:val="117DBB"/>
      <w:sz w:val="40"/>
      <w:szCs w:val="40"/>
    </w:rPr>
  </w:style>
  <w:style w:type="paragraph" w:styleId="Heading3">
    <w:name w:val="heading 3"/>
    <w:basedOn w:val="Normal"/>
    <w:next w:val="BodyText"/>
    <w:link w:val="Heading3Char"/>
    <w:uiPriority w:val="9"/>
    <w:qFormat/>
    <w:rsid w:val="00CF5B40"/>
    <w:pPr>
      <w:spacing w:before="360" w:after="120"/>
      <w:outlineLvl w:val="2"/>
    </w:pPr>
    <w:rPr>
      <w:rFonts w:ascii="Gibson" w:hAnsi="Gibson" w:cs="Myriad Pro Light"/>
      <w:bCs/>
      <w:color w:val="858687"/>
      <w:sz w:val="36"/>
      <w:szCs w:val="36"/>
    </w:rPr>
  </w:style>
  <w:style w:type="paragraph" w:styleId="Heading4">
    <w:name w:val="heading 4"/>
    <w:basedOn w:val="Normal"/>
    <w:next w:val="BodyText"/>
    <w:link w:val="Heading4Char"/>
    <w:uiPriority w:val="9"/>
    <w:qFormat/>
    <w:rsid w:val="00CF5B40"/>
    <w:pPr>
      <w:spacing w:before="360" w:after="120"/>
      <w:outlineLvl w:val="3"/>
    </w:pPr>
    <w:rPr>
      <w:rFonts w:ascii="Gibson" w:hAnsi="Gibson" w:cs="Myriad Pro"/>
      <w:color w:val="062539"/>
      <w:sz w:val="28"/>
    </w:rPr>
  </w:style>
  <w:style w:type="paragraph" w:styleId="Heading5">
    <w:name w:val="heading 5"/>
    <w:basedOn w:val="Normal"/>
    <w:next w:val="BodyText"/>
    <w:link w:val="Heading5Char"/>
    <w:uiPriority w:val="9"/>
    <w:qFormat/>
    <w:rsid w:val="00A74DD7"/>
    <w:pPr>
      <w:keepNext/>
      <w:keepLines/>
      <w:spacing w:before="360" w:after="120"/>
      <w:outlineLvl w:val="4"/>
    </w:pPr>
    <w:rPr>
      <w:rFonts w:eastAsia="MS Gothic"/>
      <w:b/>
      <w:color w:val="117DBB"/>
      <w:sz w:val="26"/>
    </w:rPr>
  </w:style>
  <w:style w:type="paragraph" w:styleId="Heading6">
    <w:name w:val="heading 6"/>
    <w:basedOn w:val="Normal"/>
    <w:next w:val="BodyText"/>
    <w:link w:val="Heading6Char"/>
    <w:uiPriority w:val="9"/>
    <w:qFormat/>
    <w:rsid w:val="00CF5B40"/>
    <w:pPr>
      <w:spacing w:before="360" w:after="120"/>
      <w:outlineLvl w:val="5"/>
    </w:pPr>
    <w:rPr>
      <w:rFonts w:ascii="Gibson" w:hAnsi="Gibson" w:cs="Myriad Pro"/>
      <w:b/>
      <w:color w:val="043F5C"/>
      <w:sz w:val="23"/>
      <w:szCs w:val="23"/>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semiHidden/>
    <w:rsid w:val="00D40061"/>
    <w:pPr>
      <w:autoSpaceDE w:val="0"/>
      <w:autoSpaceDN w:val="0"/>
      <w:adjustRightInd w:val="0"/>
    </w:pPr>
    <w:rPr>
      <w:rFonts w:ascii="Myriad Pro" w:hAnsi="Myriad Pro" w:cs="Myriad Pro"/>
      <w:color w:val="000000"/>
      <w:sz w:val="24"/>
      <w:szCs w:val="24"/>
      <w:lang w:eastAsia="en-US"/>
    </w:rPr>
  </w:style>
  <w:style w:type="character" w:customStyle="1" w:styleId="Heading6Char">
    <w:name w:val="Heading 6 Char"/>
    <w:link w:val="Heading6"/>
    <w:uiPriority w:val="9"/>
    <w:rsid w:val="00CF5B40"/>
    <w:rPr>
      <w:rFonts w:ascii="Gibson" w:hAnsi="Gibson" w:cs="Myriad Pro"/>
      <w:b/>
      <w:color w:val="043F5C"/>
      <w:sz w:val="23"/>
      <w:szCs w:val="23"/>
      <w:lang w:eastAsia="en-US"/>
    </w:rPr>
  </w:style>
  <w:style w:type="paragraph" w:customStyle="1" w:styleId="Bullet">
    <w:name w:val="Bullet"/>
    <w:basedOn w:val="Normal"/>
    <w:qFormat/>
    <w:rsid w:val="009E04B4"/>
    <w:pPr>
      <w:numPr>
        <w:numId w:val="7"/>
      </w:numPr>
      <w:spacing w:before="120" w:after="120" w:line="240" w:lineRule="atLeast"/>
      <w:ind w:hanging="300"/>
    </w:pPr>
    <w:rPr>
      <w:rFonts w:ascii="Arial" w:hAnsi="Arial" w:cs="Arial"/>
      <w:sz w:val="22"/>
      <w:szCs w:val="22"/>
    </w:rPr>
  </w:style>
  <w:style w:type="character" w:customStyle="1" w:styleId="Heading4Char">
    <w:name w:val="Heading 4 Char"/>
    <w:link w:val="Heading4"/>
    <w:uiPriority w:val="9"/>
    <w:rsid w:val="00CF5B40"/>
    <w:rPr>
      <w:rFonts w:ascii="Gibson" w:hAnsi="Gibson" w:cs="Myriad Pro"/>
      <w:color w:val="062539"/>
      <w:sz w:val="28"/>
      <w:szCs w:val="22"/>
      <w:lang w:eastAsia="en-US"/>
    </w:rPr>
  </w:style>
  <w:style w:type="character" w:customStyle="1" w:styleId="Heading5Char">
    <w:name w:val="Heading 5 Char"/>
    <w:link w:val="Heading5"/>
    <w:uiPriority w:val="9"/>
    <w:rsid w:val="00A74DD7"/>
    <w:rPr>
      <w:rFonts w:ascii="Arial" w:eastAsia="MS Gothic" w:hAnsi="Arial" w:cs="Times New Roman"/>
      <w:b/>
      <w:color w:val="117DBB"/>
      <w:sz w:val="26"/>
    </w:rPr>
  </w:style>
  <w:style w:type="character" w:customStyle="1" w:styleId="Heading1Char">
    <w:name w:val="Heading 1 Char"/>
    <w:link w:val="Heading1"/>
    <w:uiPriority w:val="99"/>
    <w:rsid w:val="00CF5B40"/>
    <w:rPr>
      <w:rFonts w:ascii="Gibson" w:hAnsi="Gibson"/>
      <w:color w:val="062539"/>
      <w:sz w:val="48"/>
      <w:szCs w:val="60"/>
      <w:lang w:eastAsia="en-US"/>
    </w:rPr>
  </w:style>
  <w:style w:type="character" w:customStyle="1" w:styleId="Heading2Char">
    <w:name w:val="Heading 2 Char"/>
    <w:link w:val="Heading2"/>
    <w:uiPriority w:val="9"/>
    <w:rsid w:val="00CF5B40"/>
    <w:rPr>
      <w:rFonts w:ascii="Gibson" w:hAnsi="Gibson"/>
      <w:bCs/>
      <w:color w:val="117DBB"/>
      <w:sz w:val="40"/>
      <w:szCs w:val="40"/>
      <w:lang w:eastAsia="en-US"/>
    </w:rPr>
  </w:style>
  <w:style w:type="character" w:customStyle="1" w:styleId="Heading3Char">
    <w:name w:val="Heading 3 Char"/>
    <w:link w:val="Heading3"/>
    <w:uiPriority w:val="9"/>
    <w:rsid w:val="00CF5B40"/>
    <w:rPr>
      <w:rFonts w:ascii="Gibson" w:hAnsi="Gibson" w:cs="Myriad Pro Light"/>
      <w:bCs/>
      <w:color w:val="858687"/>
      <w:sz w:val="36"/>
      <w:szCs w:val="36"/>
      <w:lang w:eastAsia="en-US"/>
    </w:rPr>
  </w:style>
  <w:style w:type="paragraph" w:customStyle="1" w:styleId="Sampletext">
    <w:name w:val="Sample text"/>
    <w:basedOn w:val="Normal"/>
    <w:rsid w:val="001E5DC9"/>
    <w:rPr>
      <w:rFonts w:cs="Myriad Pro Light"/>
      <w:b/>
      <w:bCs/>
      <w:color w:val="E11D3F"/>
    </w:rPr>
  </w:style>
  <w:style w:type="paragraph" w:customStyle="1" w:styleId="Tableheading">
    <w:name w:val="Table heading"/>
    <w:basedOn w:val="Normal"/>
    <w:rsid w:val="00AF0D4B"/>
    <w:rPr>
      <w:rFonts w:ascii="Gibson" w:hAnsi="Gibson" w:cs="Myriad Pro Light"/>
      <w:bCs/>
      <w:color w:val="858687"/>
      <w:sz w:val="36"/>
      <w:szCs w:val="36"/>
    </w:rPr>
  </w:style>
  <w:style w:type="paragraph" w:styleId="Footer">
    <w:name w:val="footer"/>
    <w:basedOn w:val="Normal"/>
    <w:link w:val="FooterChar"/>
    <w:uiPriority w:val="99"/>
    <w:rsid w:val="006F0894"/>
    <w:pPr>
      <w:pBdr>
        <w:top w:val="single" w:sz="12" w:space="5" w:color="185B82"/>
      </w:pBdr>
    </w:pPr>
    <w:rPr>
      <w:color w:val="858687"/>
      <w:spacing w:val="6"/>
      <w:sz w:val="16"/>
    </w:rPr>
  </w:style>
  <w:style w:type="character" w:customStyle="1" w:styleId="FooterChar">
    <w:name w:val="Footer Char"/>
    <w:link w:val="Footer"/>
    <w:uiPriority w:val="99"/>
    <w:rsid w:val="006F0894"/>
    <w:rPr>
      <w:rFonts w:ascii="Myriad Pro" w:hAnsi="Myriad Pro"/>
      <w:color w:val="858687"/>
      <w:spacing w:val="6"/>
      <w:sz w:val="16"/>
    </w:rPr>
  </w:style>
  <w:style w:type="paragraph" w:styleId="Header">
    <w:name w:val="header"/>
    <w:basedOn w:val="Normal"/>
    <w:link w:val="HeaderChar"/>
    <w:uiPriority w:val="99"/>
    <w:rsid w:val="006F0894"/>
    <w:pPr>
      <w:pBdr>
        <w:bottom w:val="single" w:sz="12" w:space="5" w:color="4476BB"/>
      </w:pBdr>
      <w:tabs>
        <w:tab w:val="center" w:pos="4513"/>
        <w:tab w:val="right" w:pos="9026"/>
      </w:tabs>
    </w:pPr>
    <w:rPr>
      <w:b/>
      <w:color w:val="043F5C"/>
      <w:spacing w:val="6"/>
      <w:sz w:val="16"/>
    </w:rPr>
  </w:style>
  <w:style w:type="character" w:customStyle="1" w:styleId="HeaderChar">
    <w:name w:val="Header Char"/>
    <w:link w:val="Header"/>
    <w:uiPriority w:val="99"/>
    <w:rsid w:val="006F0894"/>
    <w:rPr>
      <w:rFonts w:ascii="Myriad Pro" w:hAnsi="Myriad Pro"/>
      <w:b/>
      <w:color w:val="043F5C"/>
      <w:spacing w:val="6"/>
      <w:sz w:val="16"/>
    </w:rPr>
  </w:style>
  <w:style w:type="paragraph" w:customStyle="1" w:styleId="Seriestitle">
    <w:name w:val="Series title"/>
    <w:basedOn w:val="Normal"/>
    <w:rsid w:val="00157B1E"/>
    <w:pPr>
      <w:autoSpaceDE w:val="0"/>
      <w:autoSpaceDN w:val="0"/>
      <w:adjustRightInd w:val="0"/>
      <w:spacing w:before="720"/>
      <w:ind w:left="720"/>
    </w:pPr>
    <w:rPr>
      <w:caps/>
      <w:color w:val="FFFFFF"/>
      <w:sz w:val="32"/>
      <w:szCs w:val="32"/>
    </w:rPr>
  </w:style>
  <w:style w:type="paragraph" w:styleId="Subtitle">
    <w:name w:val="Subtitle"/>
    <w:basedOn w:val="Normal"/>
    <w:next w:val="Normal"/>
    <w:link w:val="SubtitleChar"/>
    <w:uiPriority w:val="11"/>
    <w:rsid w:val="00157B1E"/>
    <w:pPr>
      <w:spacing w:before="480" w:after="80"/>
      <w:ind w:firstLine="742"/>
    </w:pPr>
    <w:rPr>
      <w:rFonts w:cs="Myriad Pro"/>
      <w:b/>
      <w:bCs/>
      <w:color w:val="FFFFFF"/>
      <w:sz w:val="40"/>
      <w:szCs w:val="40"/>
    </w:rPr>
  </w:style>
  <w:style w:type="character" w:customStyle="1" w:styleId="SubtitleChar">
    <w:name w:val="Subtitle Char"/>
    <w:link w:val="Subtitle"/>
    <w:uiPriority w:val="11"/>
    <w:rsid w:val="00157B1E"/>
    <w:rPr>
      <w:rFonts w:ascii="Arial" w:hAnsi="Arial" w:cs="Myriad Pro"/>
      <w:b/>
      <w:bCs/>
      <w:color w:val="FFFFFF"/>
      <w:sz w:val="40"/>
      <w:szCs w:val="40"/>
    </w:rPr>
  </w:style>
  <w:style w:type="paragraph" w:styleId="Title">
    <w:name w:val="Title"/>
    <w:basedOn w:val="Normal"/>
    <w:next w:val="Normal"/>
    <w:link w:val="TitleChar"/>
    <w:uiPriority w:val="10"/>
    <w:rsid w:val="00157B1E"/>
    <w:pPr>
      <w:autoSpaceDE w:val="0"/>
      <w:autoSpaceDN w:val="0"/>
      <w:adjustRightInd w:val="0"/>
      <w:spacing w:before="240" w:after="360"/>
      <w:ind w:firstLine="742"/>
    </w:pPr>
    <w:rPr>
      <w:color w:val="FFFFFF"/>
      <w:sz w:val="60"/>
      <w:szCs w:val="60"/>
    </w:rPr>
  </w:style>
  <w:style w:type="character" w:customStyle="1" w:styleId="TitleChar">
    <w:name w:val="Title Char"/>
    <w:link w:val="Title"/>
    <w:uiPriority w:val="10"/>
    <w:rsid w:val="00157B1E"/>
    <w:rPr>
      <w:rFonts w:ascii="Arial" w:hAnsi="Arial"/>
      <w:color w:val="FFFFFF"/>
      <w:sz w:val="60"/>
      <w:szCs w:val="60"/>
    </w:rPr>
  </w:style>
  <w:style w:type="paragraph" w:customStyle="1" w:styleId="Contents">
    <w:name w:val="Contents"/>
    <w:basedOn w:val="Normal"/>
    <w:next w:val="BodyText"/>
    <w:rsid w:val="003F198D"/>
    <w:pPr>
      <w:spacing w:before="40" w:after="80"/>
    </w:pPr>
    <w:rPr>
      <w:rFonts w:cs="Myriad Pro"/>
      <w:b/>
      <w:color w:val="2C2B2B"/>
      <w:sz w:val="40"/>
      <w:szCs w:val="40"/>
    </w:rPr>
  </w:style>
  <w:style w:type="paragraph" w:customStyle="1" w:styleId="Disclaimer">
    <w:name w:val="Disclaimer"/>
    <w:basedOn w:val="Normal"/>
    <w:rsid w:val="003F198D"/>
    <w:pPr>
      <w:spacing w:before="40" w:after="80"/>
    </w:pPr>
    <w:rPr>
      <w:rFonts w:cs="Myriad Pro"/>
      <w:color w:val="858687"/>
      <w:sz w:val="18"/>
    </w:rPr>
  </w:style>
  <w:style w:type="paragraph" w:styleId="BodyText">
    <w:name w:val="Body Text"/>
    <w:basedOn w:val="Normal"/>
    <w:link w:val="BodyTextChar"/>
    <w:qFormat/>
    <w:rsid w:val="009E04B4"/>
    <w:pPr>
      <w:spacing w:before="120" w:after="120" w:line="240" w:lineRule="atLeast"/>
    </w:pPr>
    <w:rPr>
      <w:rFonts w:ascii="Arial" w:hAnsi="Arial" w:cs="Arial"/>
      <w:sz w:val="22"/>
      <w:szCs w:val="22"/>
    </w:rPr>
  </w:style>
  <w:style w:type="character" w:customStyle="1" w:styleId="BodyTextChar">
    <w:name w:val="Body Text Char"/>
    <w:link w:val="BodyText"/>
    <w:rsid w:val="009E04B4"/>
    <w:rPr>
      <w:rFonts w:ascii="Arial" w:eastAsia="Times New Roman" w:hAnsi="Arial" w:cs="Arial"/>
      <w:sz w:val="22"/>
      <w:szCs w:val="22"/>
      <w:lang w:eastAsia="en-US"/>
    </w:rPr>
  </w:style>
  <w:style w:type="table" w:styleId="TableGrid">
    <w:name w:val="Table Grid"/>
    <w:aliases w:val="DPI Table"/>
    <w:basedOn w:val="TableNormal"/>
    <w:uiPriority w:val="39"/>
    <w:rsid w:val="00C64C27"/>
    <w:pPr>
      <w:spacing w:before="60" w:after="60"/>
    </w:pPr>
    <w:rPr>
      <w:rFonts w:ascii="Arial" w:hAnsi="Arial"/>
    </w:rPr>
    <w:tblPr>
      <w:tblBorders>
        <w:bottom w:val="single" w:sz="2" w:space="0" w:color="117DBB"/>
        <w:insideH w:val="single" w:sz="2" w:space="0" w:color="117DBB"/>
      </w:tblBorders>
      <w:tblCellMar>
        <w:top w:w="57" w:type="dxa"/>
        <w:bottom w:w="57" w:type="dxa"/>
      </w:tblCellMar>
    </w:tblPr>
    <w:tblStylePr w:type="firstRow">
      <w:rPr>
        <w:rFonts w:ascii="Arial" w:hAnsi="Arial"/>
        <w:color w:val="FFFFFF"/>
        <w:sz w:val="22"/>
      </w:rPr>
      <w:tblPr/>
      <w:tcPr>
        <w:tcBorders>
          <w:top w:val="nil"/>
          <w:left w:val="nil"/>
          <w:bottom w:val="nil"/>
          <w:right w:val="nil"/>
          <w:insideH w:val="nil"/>
          <w:insideV w:val="nil"/>
          <w:tl2br w:val="nil"/>
          <w:tr2bl w:val="nil"/>
        </w:tcBorders>
        <w:shd w:val="clear" w:color="auto" w:fill="117DBB"/>
      </w:tcPr>
    </w:tblStylePr>
  </w:style>
  <w:style w:type="character" w:styleId="Hyperlink">
    <w:name w:val="Hyperlink"/>
    <w:uiPriority w:val="99"/>
    <w:rsid w:val="00440763"/>
    <w:rPr>
      <w:color w:val="0563C1"/>
      <w:u w:val="single"/>
    </w:rPr>
  </w:style>
  <w:style w:type="paragraph" w:styleId="TOCHeading">
    <w:name w:val="TOC Heading"/>
    <w:basedOn w:val="Heading1"/>
    <w:next w:val="Normal"/>
    <w:uiPriority w:val="39"/>
    <w:semiHidden/>
    <w:qFormat/>
    <w:rsid w:val="00BF62F2"/>
    <w:pPr>
      <w:keepNext/>
      <w:keepLines/>
      <w:spacing w:before="240" w:after="0"/>
      <w:outlineLvl w:val="9"/>
    </w:pPr>
    <w:rPr>
      <w:rFonts w:ascii="Calibri Light" w:eastAsia="MS Gothic" w:hAnsi="Calibri Light"/>
      <w:color w:val="032E44"/>
      <w:sz w:val="32"/>
      <w:szCs w:val="32"/>
      <w:lang w:val="en-US"/>
    </w:rPr>
  </w:style>
  <w:style w:type="paragraph" w:styleId="TOC1">
    <w:name w:val="toc 1"/>
    <w:basedOn w:val="Normal"/>
    <w:next w:val="Normal"/>
    <w:autoRedefine/>
    <w:uiPriority w:val="39"/>
    <w:rsid w:val="009F2B2E"/>
    <w:pPr>
      <w:tabs>
        <w:tab w:val="right" w:leader="dot" w:pos="10762"/>
      </w:tabs>
      <w:spacing w:after="100"/>
    </w:pPr>
  </w:style>
  <w:style w:type="paragraph" w:styleId="TOC2">
    <w:name w:val="toc 2"/>
    <w:basedOn w:val="Normal"/>
    <w:next w:val="Normal"/>
    <w:autoRedefine/>
    <w:uiPriority w:val="39"/>
    <w:rsid w:val="00BF62F2"/>
    <w:pPr>
      <w:spacing w:after="100"/>
      <w:ind w:left="220"/>
    </w:pPr>
  </w:style>
  <w:style w:type="paragraph" w:styleId="TOC3">
    <w:name w:val="toc 3"/>
    <w:basedOn w:val="Normal"/>
    <w:next w:val="Normal"/>
    <w:autoRedefine/>
    <w:uiPriority w:val="39"/>
    <w:rsid w:val="00BF62F2"/>
    <w:pPr>
      <w:spacing w:after="100"/>
      <w:ind w:left="440"/>
    </w:pPr>
  </w:style>
  <w:style w:type="character" w:styleId="PlaceholderText">
    <w:name w:val="Placeholder Text"/>
    <w:uiPriority w:val="99"/>
    <w:semiHidden/>
    <w:rsid w:val="00A70FF0"/>
    <w:rPr>
      <w:color w:val="808080"/>
    </w:rPr>
  </w:style>
  <w:style w:type="paragraph" w:styleId="BalloonText">
    <w:name w:val="Balloon Text"/>
    <w:basedOn w:val="Normal"/>
    <w:link w:val="BalloonTextChar"/>
    <w:uiPriority w:val="99"/>
    <w:semiHidden/>
    <w:unhideWhenUsed/>
    <w:rsid w:val="00A00BC5"/>
    <w:rPr>
      <w:rFonts w:ascii="Tahoma" w:hAnsi="Tahoma" w:cs="Tahoma"/>
      <w:sz w:val="16"/>
      <w:szCs w:val="16"/>
    </w:rPr>
  </w:style>
  <w:style w:type="character" w:customStyle="1" w:styleId="BalloonTextChar">
    <w:name w:val="Balloon Text Char"/>
    <w:link w:val="BalloonText"/>
    <w:uiPriority w:val="99"/>
    <w:semiHidden/>
    <w:rsid w:val="00A00BC5"/>
    <w:rPr>
      <w:rFonts w:ascii="Tahoma" w:hAnsi="Tahoma" w:cs="Tahoma"/>
      <w:sz w:val="16"/>
      <w:szCs w:val="16"/>
    </w:rPr>
  </w:style>
  <w:style w:type="paragraph" w:customStyle="1" w:styleId="Copyright">
    <w:name w:val="Copyright"/>
    <w:basedOn w:val="Normal"/>
    <w:semiHidden/>
    <w:rsid w:val="00D4317C"/>
    <w:pPr>
      <w:pBdr>
        <w:top w:val="single" w:sz="4" w:space="4" w:color="008FCC"/>
      </w:pBdr>
      <w:tabs>
        <w:tab w:val="left" w:pos="340"/>
      </w:tabs>
      <w:spacing w:before="60" w:after="80" w:line="180" w:lineRule="exact"/>
    </w:pPr>
    <w:rPr>
      <w:sz w:val="14"/>
      <w:szCs w:val="14"/>
    </w:rPr>
  </w:style>
  <w:style w:type="paragraph" w:customStyle="1" w:styleId="Reversetitlepage">
    <w:name w:val="Reverse title page"/>
    <w:basedOn w:val="Normal"/>
    <w:rsid w:val="00D4317C"/>
    <w:pPr>
      <w:tabs>
        <w:tab w:val="left" w:pos="340"/>
      </w:tabs>
      <w:spacing w:before="60" w:after="120" w:line="260" w:lineRule="atLeast"/>
    </w:pPr>
    <w:rPr>
      <w:sz w:val="18"/>
      <w:szCs w:val="20"/>
    </w:rPr>
  </w:style>
  <w:style w:type="character" w:styleId="FollowedHyperlink">
    <w:name w:val="FollowedHyperlink"/>
    <w:uiPriority w:val="99"/>
    <w:semiHidden/>
    <w:unhideWhenUsed/>
    <w:rsid w:val="00C66FE6"/>
    <w:rPr>
      <w:color w:val="954F72"/>
      <w:u w:val="single"/>
    </w:rPr>
  </w:style>
  <w:style w:type="table" w:customStyle="1" w:styleId="DPITable1">
    <w:name w:val="DPI Table1"/>
    <w:basedOn w:val="TableNormal"/>
    <w:next w:val="TableGrid"/>
    <w:uiPriority w:val="39"/>
    <w:rsid w:val="00CD414A"/>
    <w:pPr>
      <w:spacing w:before="60" w:after="60"/>
    </w:pPr>
    <w:rPr>
      <w:rFonts w:ascii="Myriad Pro" w:hAnsi="Myriad Pro"/>
      <w:color w:val="858687"/>
    </w:rPr>
    <w:tblPr>
      <w:tblBorders>
        <w:top w:val="single" w:sz="4" w:space="0" w:color="969393"/>
        <w:left w:val="single" w:sz="4" w:space="0" w:color="969393"/>
        <w:bottom w:val="single" w:sz="4" w:space="0" w:color="969393"/>
        <w:right w:val="single" w:sz="4" w:space="0" w:color="969393"/>
        <w:insideH w:val="single" w:sz="4" w:space="0" w:color="969393"/>
        <w:insideV w:val="single" w:sz="4" w:space="0" w:color="969393"/>
      </w:tblBorders>
    </w:tblPr>
    <w:tblStylePr w:type="firstRow">
      <w:rPr>
        <w:rFonts w:ascii="Segoe UI Emoji" w:hAnsi="Segoe UI Emoji"/>
        <w:color w:val="FFFFFF"/>
        <w:sz w:val="20"/>
      </w:rPr>
      <w:tblPr/>
      <w:tcPr>
        <w:shd w:val="clear" w:color="auto" w:fill="185B82"/>
      </w:tcPr>
    </w:tblStylePr>
  </w:style>
  <w:style w:type="paragraph" w:customStyle="1" w:styleId="Silentheading">
    <w:name w:val="Silent heading"/>
    <w:basedOn w:val="Heading2"/>
    <w:link w:val="SilentheadingChar"/>
    <w:qFormat/>
    <w:rsid w:val="00937F7D"/>
    <w:rPr>
      <w:color w:val="0A7CB9"/>
    </w:rPr>
  </w:style>
  <w:style w:type="paragraph" w:customStyle="1" w:styleId="Headingnumber1">
    <w:name w:val="Heading number 1"/>
    <w:basedOn w:val="ListParagraph"/>
    <w:link w:val="Headingnumber1Char"/>
    <w:qFormat/>
    <w:rsid w:val="00CF5B40"/>
    <w:pPr>
      <w:numPr>
        <w:numId w:val="4"/>
      </w:numPr>
      <w:autoSpaceDE w:val="0"/>
      <w:autoSpaceDN w:val="0"/>
      <w:adjustRightInd w:val="0"/>
      <w:spacing w:before="120" w:after="120" w:line="240" w:lineRule="atLeast"/>
    </w:pPr>
    <w:rPr>
      <w:rFonts w:ascii="Gibson" w:hAnsi="Gibson" w:cs="Arial"/>
      <w:sz w:val="48"/>
      <w:lang w:eastAsia="en-AU"/>
    </w:rPr>
  </w:style>
  <w:style w:type="character" w:customStyle="1" w:styleId="SilentheadingChar">
    <w:name w:val="Silent heading Char"/>
    <w:link w:val="Silentheading"/>
    <w:rsid w:val="00937F7D"/>
    <w:rPr>
      <w:rFonts w:ascii="Arial" w:hAnsi="Arial"/>
      <w:bCs/>
      <w:color w:val="0A7CB9"/>
      <w:sz w:val="40"/>
      <w:szCs w:val="40"/>
      <w:lang w:eastAsia="en-US"/>
    </w:rPr>
  </w:style>
  <w:style w:type="paragraph" w:customStyle="1" w:styleId="Headingnumber2">
    <w:name w:val="Heading number 2"/>
    <w:basedOn w:val="ListParagraph"/>
    <w:link w:val="Headingnumber2Char"/>
    <w:qFormat/>
    <w:rsid w:val="00CF5B40"/>
    <w:pPr>
      <w:numPr>
        <w:ilvl w:val="1"/>
        <w:numId w:val="4"/>
      </w:numPr>
      <w:autoSpaceDE w:val="0"/>
      <w:autoSpaceDN w:val="0"/>
      <w:adjustRightInd w:val="0"/>
      <w:spacing w:before="120" w:after="120" w:line="240" w:lineRule="atLeast"/>
    </w:pPr>
    <w:rPr>
      <w:rFonts w:ascii="Gibson" w:hAnsi="Gibson" w:cs="Arial"/>
      <w:color w:val="0070C0"/>
      <w:sz w:val="40"/>
      <w:lang w:eastAsia="en-AU"/>
    </w:rPr>
  </w:style>
  <w:style w:type="character" w:customStyle="1" w:styleId="Headingnumber1Char">
    <w:name w:val="Heading number 1 Char"/>
    <w:link w:val="Headingnumber1"/>
    <w:rsid w:val="00CF5B40"/>
    <w:rPr>
      <w:rFonts w:ascii="Gibson" w:eastAsia="Times New Roman" w:hAnsi="Gibson" w:cs="Arial"/>
      <w:sz w:val="48"/>
      <w:szCs w:val="22"/>
    </w:rPr>
  </w:style>
  <w:style w:type="paragraph" w:customStyle="1" w:styleId="Headingnumber3">
    <w:name w:val="Heading number 3"/>
    <w:basedOn w:val="ListParagraph"/>
    <w:link w:val="Headingnumber3Char"/>
    <w:qFormat/>
    <w:rsid w:val="00CF5B40"/>
    <w:pPr>
      <w:numPr>
        <w:ilvl w:val="2"/>
        <w:numId w:val="4"/>
      </w:numPr>
      <w:autoSpaceDE w:val="0"/>
      <w:autoSpaceDN w:val="0"/>
      <w:adjustRightInd w:val="0"/>
      <w:spacing w:before="120" w:after="120" w:line="240" w:lineRule="atLeast"/>
    </w:pPr>
    <w:rPr>
      <w:rFonts w:ascii="Gibson" w:hAnsi="Gibson" w:cs="Arial"/>
      <w:color w:val="A6A6A6"/>
      <w:sz w:val="32"/>
      <w:lang w:eastAsia="en-AU"/>
    </w:rPr>
  </w:style>
  <w:style w:type="character" w:customStyle="1" w:styleId="Headingnumber2Char">
    <w:name w:val="Heading number 2 Char"/>
    <w:link w:val="Headingnumber2"/>
    <w:rsid w:val="00CF5B40"/>
    <w:rPr>
      <w:rFonts w:ascii="Gibson" w:eastAsia="Times New Roman" w:hAnsi="Gibson" w:cs="Arial"/>
      <w:color w:val="0070C0"/>
      <w:sz w:val="40"/>
      <w:szCs w:val="22"/>
    </w:rPr>
  </w:style>
  <w:style w:type="paragraph" w:customStyle="1" w:styleId="Headingnumber4">
    <w:name w:val="Heading number 4"/>
    <w:basedOn w:val="ListParagraph"/>
    <w:link w:val="Headingnumber4Char"/>
    <w:qFormat/>
    <w:rsid w:val="00CF5B40"/>
    <w:pPr>
      <w:numPr>
        <w:ilvl w:val="3"/>
        <w:numId w:val="4"/>
      </w:numPr>
      <w:autoSpaceDE w:val="0"/>
      <w:autoSpaceDN w:val="0"/>
      <w:adjustRightInd w:val="0"/>
      <w:spacing w:before="120" w:after="120" w:line="240" w:lineRule="atLeast"/>
    </w:pPr>
    <w:rPr>
      <w:rFonts w:ascii="Gibson" w:hAnsi="Gibson" w:cs="Arial"/>
      <w:color w:val="00ABE6"/>
      <w:sz w:val="28"/>
      <w:lang w:eastAsia="en-AU"/>
    </w:rPr>
  </w:style>
  <w:style w:type="character" w:customStyle="1" w:styleId="Headingnumber3Char">
    <w:name w:val="Heading number 3 Char"/>
    <w:link w:val="Headingnumber3"/>
    <w:rsid w:val="00CF5B40"/>
    <w:rPr>
      <w:rFonts w:ascii="Gibson" w:eastAsia="Times New Roman" w:hAnsi="Gibson" w:cs="Arial"/>
      <w:color w:val="A6A6A6"/>
      <w:sz w:val="32"/>
      <w:szCs w:val="22"/>
    </w:rPr>
  </w:style>
  <w:style w:type="character" w:customStyle="1" w:styleId="Headingnumber4Char">
    <w:name w:val="Heading number 4 Char"/>
    <w:link w:val="Headingnumber4"/>
    <w:rsid w:val="00CF5B40"/>
    <w:rPr>
      <w:rFonts w:ascii="Gibson" w:eastAsia="Times New Roman" w:hAnsi="Gibson" w:cs="Arial"/>
      <w:color w:val="00ABE6"/>
      <w:sz w:val="28"/>
      <w:szCs w:val="22"/>
    </w:rPr>
  </w:style>
  <w:style w:type="paragraph" w:styleId="ListParagraph">
    <w:name w:val="List Paragraph"/>
    <w:basedOn w:val="Normal"/>
    <w:uiPriority w:val="34"/>
    <w:semiHidden/>
    <w:rsid w:val="00CC4530"/>
    <w:pPr>
      <w:ind w:left="720"/>
      <w:contextualSpacing/>
    </w:pPr>
  </w:style>
  <w:style w:type="paragraph" w:customStyle="1" w:styleId="Numberedlist">
    <w:name w:val="Numbered list"/>
    <w:basedOn w:val="Bullet"/>
    <w:qFormat/>
    <w:rsid w:val="00A45D78"/>
    <w:pPr>
      <w:numPr>
        <w:numId w:val="9"/>
      </w:numPr>
      <w:tabs>
        <w:tab w:val="clear" w:pos="720"/>
      </w:tabs>
      <w:ind w:left="425" w:hanging="425"/>
    </w:pPr>
  </w:style>
  <w:style w:type="character" w:styleId="CommentReference">
    <w:name w:val="annotation reference"/>
    <w:basedOn w:val="DefaultParagraphFont"/>
    <w:uiPriority w:val="99"/>
    <w:semiHidden/>
    <w:unhideWhenUsed/>
    <w:rsid w:val="00D71082"/>
    <w:rPr>
      <w:sz w:val="16"/>
      <w:szCs w:val="16"/>
    </w:rPr>
  </w:style>
  <w:style w:type="paragraph" w:styleId="CommentText">
    <w:name w:val="annotation text"/>
    <w:basedOn w:val="Normal"/>
    <w:link w:val="CommentTextChar"/>
    <w:uiPriority w:val="99"/>
    <w:semiHidden/>
    <w:unhideWhenUsed/>
    <w:rsid w:val="00D71082"/>
    <w:rPr>
      <w:sz w:val="20"/>
      <w:szCs w:val="20"/>
    </w:rPr>
  </w:style>
  <w:style w:type="character" w:customStyle="1" w:styleId="CommentTextChar">
    <w:name w:val="Comment Text Char"/>
    <w:basedOn w:val="DefaultParagraphFont"/>
    <w:link w:val="CommentText"/>
    <w:uiPriority w:val="99"/>
    <w:semiHidden/>
    <w:rsid w:val="00D71082"/>
    <w:rPr>
      <w:rFonts w:ascii="Times New Roman" w:eastAsia="Times New Roman" w:hAnsi="Times New Roman"/>
      <w:lang w:eastAsia="en-US"/>
    </w:rPr>
  </w:style>
  <w:style w:type="paragraph" w:styleId="CommentSubject">
    <w:name w:val="annotation subject"/>
    <w:basedOn w:val="CommentText"/>
    <w:next w:val="CommentText"/>
    <w:link w:val="CommentSubjectChar"/>
    <w:uiPriority w:val="99"/>
    <w:semiHidden/>
    <w:unhideWhenUsed/>
    <w:rsid w:val="00D71082"/>
    <w:rPr>
      <w:b/>
      <w:bCs/>
    </w:rPr>
  </w:style>
  <w:style w:type="character" w:customStyle="1" w:styleId="CommentSubjectChar">
    <w:name w:val="Comment Subject Char"/>
    <w:basedOn w:val="CommentTextChar"/>
    <w:link w:val="CommentSubject"/>
    <w:uiPriority w:val="99"/>
    <w:semiHidden/>
    <w:rsid w:val="00D71082"/>
    <w:rPr>
      <w:rFonts w:ascii="Times New Roman" w:eastAsia="Times New Roman" w:hAnsi="Times New Roman"/>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toopk\Documents\Templates%20Dec%202017\Resources%20Regulator%20-%20Short%20Publication-Blue-Dec2017-upd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root>
  <DocTitle/>
</root>
</file>

<file path=customXml/item2.xml><?xml version="1.0" encoding="utf-8"?>
<b:Sources xmlns:b="http://schemas.openxmlformats.org/officeDocument/2006/bibliography" xmlns="http://schemas.openxmlformats.org/officeDocument/2006/bibliography" SelectedStyle="\APASixthEditionOfficeOnline.xsl" StyleName="APA" Version="6">
</b:Sources>
</file>

<file path=customXml/itemProps1.xml><?xml version="1.0" encoding="utf-8"?>
<ds:datastoreItem xmlns:ds="http://schemas.openxmlformats.org/officeDocument/2006/customXml" ds:itemID="{180FEE2B-92DD-4DDF-8CD2-B2B446081537}">
  <ds:schemaRefs/>
</ds:datastoreItem>
</file>

<file path=customXml/itemProps2.xml><?xml version="1.0" encoding="utf-8"?>
<ds:datastoreItem xmlns:ds="http://schemas.openxmlformats.org/officeDocument/2006/customXml" ds:itemID="{04F77BEA-1362-4FC7-BCD2-C30ACC7BE1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Resources Regulator - Short Publication-Blue-Dec2017-update.dot</Template>
  <TotalTime>50</TotalTime>
  <Pages>2</Pages>
  <Words>528</Words>
  <Characters>2667</Characters>
  <Application>Microsoft Office Word</Application>
  <DocSecurity>0</DocSecurity>
  <Lines>47</Lines>
  <Paragraphs>28</Paragraphs>
  <ScaleCrop>false</ScaleCrop>
  <HeadingPairs>
    <vt:vector size="2" baseType="variant">
      <vt:variant>
        <vt:lpstr>Title</vt:lpstr>
      </vt:variant>
      <vt:variant>
        <vt:i4>1</vt:i4>
      </vt:variant>
    </vt:vector>
  </HeadingPairs>
  <TitlesOfParts>
    <vt:vector size="1" baseType="lpstr">
      <vt:lpstr>Resources Regulator publication</vt:lpstr>
    </vt:vector>
  </TitlesOfParts>
  <Company>NSW Government</Company>
  <LinksUpToDate>false</LinksUpToDate>
  <CharactersWithSpaces>3167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Resources Regulator publication</dc:title>
  <dc:subject>Publication of the NSW Resources Regulator</dc:subject>
  <dc:creator>Kirsten Stoop</dc:creator>
  <cp:keywords>mines, mining, NSW Resources Regulator, mine safety, NSW mine safety, compliance, enforcement</cp:keywords>
  <cp:lastModifiedBy>Debbie Moro</cp:lastModifiedBy>
  <cp:revision>13</cp:revision>
  <cp:lastPrinted>2017-12-04T06:06:00Z</cp:lastPrinted>
  <dcterms:created xsi:type="dcterms:W3CDTF">2018-06-14T05:42:00Z</dcterms:created>
  <dcterms:modified xsi:type="dcterms:W3CDTF">2024-10-10T01:45:00Z</dcterms:modified>
</cp:coreProperties>
</file>