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DE" w:rsidRPr="00E452DE" w:rsidRDefault="00E452DE" w:rsidP="00A4737A">
      <w:pPr>
        <w:spacing w:before="360"/>
        <w:rPr>
          <w:b/>
          <w:i/>
        </w:rPr>
      </w:pPr>
      <w:r w:rsidRPr="00E452DE">
        <w:rPr>
          <w:b/>
          <w:i/>
        </w:rPr>
        <w:t>PROTOCOL FOR EVIDENCING PROOF OF EXTINGUISHMENT OF NATIVE TITLE</w:t>
      </w:r>
    </w:p>
    <w:p w:rsidR="00E452DE" w:rsidRPr="004D778A" w:rsidRDefault="00E452DE" w:rsidP="00A4737A">
      <w:pPr>
        <w:spacing w:before="480"/>
        <w:rPr>
          <w:b/>
        </w:rPr>
      </w:pPr>
      <w:r w:rsidRPr="004D778A">
        <w:rPr>
          <w:b/>
        </w:rPr>
        <w:t>Purpose</w:t>
      </w:r>
    </w:p>
    <w:p w:rsidR="00E452DE" w:rsidRDefault="00E452DE" w:rsidP="00E452DE">
      <w:r>
        <w:t>This protocol applies where an applicant for a mining title asserts that native title has been extinguished to the whole of the area of the mining title</w:t>
      </w:r>
    </w:p>
    <w:p w:rsidR="00E452DE" w:rsidRPr="00464A4D" w:rsidRDefault="00E452DE" w:rsidP="00E452DE">
      <w:r w:rsidRPr="00464A4D">
        <w:t xml:space="preserve">The </w:t>
      </w:r>
      <w:r>
        <w:t xml:space="preserve">Minister for Industry, Resources and Energy </w:t>
      </w:r>
      <w:r w:rsidRPr="00464A4D">
        <w:t>must independently determine whether native title has been extinguished, based on documents provided by the applicant</w:t>
      </w:r>
      <w:r>
        <w:t xml:space="preserve">.  </w:t>
      </w:r>
      <w:r w:rsidRPr="00464A4D">
        <w:t xml:space="preserve">This protocol assists the </w:t>
      </w:r>
      <w:r>
        <w:t>Minister</w:t>
      </w:r>
      <w:r w:rsidRPr="00464A4D">
        <w:t xml:space="preserve"> in evaluating whether the </w:t>
      </w:r>
      <w:r w:rsidRPr="00641D03">
        <w:t>CNTA</w:t>
      </w:r>
      <w:r w:rsidRPr="00464A4D">
        <w:t xml:space="preserve"> applies to</w:t>
      </w:r>
      <w:r>
        <w:t xml:space="preserve"> an Authorisation or Title including</w:t>
      </w:r>
      <w:r w:rsidRPr="00464A4D">
        <w:t>:</w:t>
      </w:r>
    </w:p>
    <w:p w:rsidR="00E452DE" w:rsidRPr="00464A4D" w:rsidRDefault="00E452DE" w:rsidP="00E452DE">
      <w:pPr>
        <w:pStyle w:val="ListParagraph"/>
        <w:numPr>
          <w:ilvl w:val="0"/>
          <w:numId w:val="1"/>
        </w:numPr>
        <w:ind w:left="426"/>
      </w:pPr>
      <w:r w:rsidRPr="00464A4D">
        <w:t>a Mining Lease Application (</w:t>
      </w:r>
      <w:r w:rsidRPr="00BE5FC0">
        <w:t>MLA</w:t>
      </w:r>
      <w:r w:rsidRPr="00464A4D">
        <w:t>)</w:t>
      </w:r>
      <w:r>
        <w:t xml:space="preserve"> or a Petroleum Production Lease Application (</w:t>
      </w:r>
      <w:r w:rsidRPr="00BE5FC0">
        <w:t>PPLA</w:t>
      </w:r>
      <w:r>
        <w:t>);</w:t>
      </w:r>
      <w:r w:rsidRPr="00464A4D">
        <w:t xml:space="preserve"> </w:t>
      </w:r>
    </w:p>
    <w:p w:rsidR="00E452DE" w:rsidRPr="00464A4D" w:rsidRDefault="00E452DE" w:rsidP="00E452DE">
      <w:pPr>
        <w:pStyle w:val="ListParagraph"/>
        <w:numPr>
          <w:ilvl w:val="0"/>
          <w:numId w:val="1"/>
        </w:numPr>
        <w:ind w:left="426"/>
      </w:pPr>
      <w:r w:rsidRPr="00464A4D">
        <w:t>an Assessment Lease Application (</w:t>
      </w:r>
      <w:r w:rsidRPr="00BE5FC0">
        <w:t>ALA</w:t>
      </w:r>
      <w:r w:rsidRPr="00464A4D">
        <w:t>)</w:t>
      </w:r>
      <w:r>
        <w:t xml:space="preserve"> or Petroleum Assessment Lease Application (PALA)</w:t>
      </w:r>
      <w:r w:rsidRPr="00464A4D">
        <w:t>;</w:t>
      </w:r>
    </w:p>
    <w:p w:rsidR="00E452DE" w:rsidRPr="00D800CD" w:rsidRDefault="00E452DE" w:rsidP="00E452DE">
      <w:pPr>
        <w:pStyle w:val="ListParagraph"/>
        <w:numPr>
          <w:ilvl w:val="0"/>
          <w:numId w:val="1"/>
        </w:numPr>
        <w:ind w:left="426"/>
      </w:pPr>
      <w:proofErr w:type="gramStart"/>
      <w:r w:rsidRPr="00D800CD">
        <w:t>applications</w:t>
      </w:r>
      <w:proofErr w:type="gramEnd"/>
      <w:r w:rsidRPr="00D800CD">
        <w:t xml:space="preserve"> for Exploration Licences </w:t>
      </w:r>
      <w:r>
        <w:t xml:space="preserve">and PSPAs  </w:t>
      </w:r>
      <w:r w:rsidRPr="00D800CD">
        <w:t xml:space="preserve">that do not include the condition described in section 4(1) of the </w:t>
      </w:r>
      <w:r w:rsidRPr="00BE5FC0">
        <w:t>Native Title (Right to Negotiate (Exclusion) — NSW Land) Determination No. 1 of 1996</w:t>
      </w:r>
      <w:r w:rsidRPr="00D800CD">
        <w:t>.</w:t>
      </w:r>
    </w:p>
    <w:p w:rsidR="00E452DE" w:rsidRDefault="00E452DE" w:rsidP="00E452DE">
      <w:r w:rsidRPr="00464A4D">
        <w:t>This information</w:t>
      </w:r>
      <w:r>
        <w:t xml:space="preserve"> / documents</w:t>
      </w:r>
      <w:r w:rsidRPr="00464A4D">
        <w:t xml:space="preserve"> referred to in this prot</w:t>
      </w:r>
      <w:r>
        <w:t>o</w:t>
      </w:r>
      <w:r w:rsidRPr="00464A4D">
        <w:t>col should be provided in hard copy and digitally on compact disc (CR-ROM) or USB.</w:t>
      </w:r>
    </w:p>
    <w:p w:rsidR="00E452DE" w:rsidRPr="004D778A" w:rsidRDefault="00E452DE" w:rsidP="00E452DE">
      <w:pPr>
        <w:rPr>
          <w:b/>
        </w:rPr>
      </w:pPr>
      <w:r w:rsidRPr="004D778A">
        <w:rPr>
          <w:b/>
        </w:rPr>
        <w:t>Exclusive Possession Acts</w:t>
      </w:r>
    </w:p>
    <w:p w:rsidR="00E452DE" w:rsidRDefault="00E452DE" w:rsidP="00E452DE">
      <w:r>
        <w:t>The most common extinguishing acts in NSW are previous exclusive possession acts. This includes certain, valid acts that took place on or before 23 December 1996 and can include:</w:t>
      </w:r>
    </w:p>
    <w:p w:rsidR="00E452DE" w:rsidRDefault="00E452DE" w:rsidP="00E452DE">
      <w:pPr>
        <w:ind w:left="851" w:hanging="720"/>
      </w:pPr>
      <w:r>
        <w:t>(a)</w:t>
      </w:r>
      <w:r>
        <w:tab/>
      </w:r>
      <w:proofErr w:type="gramStart"/>
      <w:r>
        <w:t>the</w:t>
      </w:r>
      <w:proofErr w:type="gramEnd"/>
      <w:r>
        <w:t xml:space="preserve"> grant of a freehold estate,</w:t>
      </w:r>
    </w:p>
    <w:p w:rsidR="00E452DE" w:rsidRPr="003E4FFE" w:rsidRDefault="00E452DE" w:rsidP="00E452DE">
      <w:pPr>
        <w:ind w:left="851" w:hanging="720"/>
      </w:pPr>
      <w:r w:rsidRPr="00527ED2">
        <w:t>(b)</w:t>
      </w:r>
      <w:r w:rsidRPr="00527ED2">
        <w:tab/>
      </w:r>
      <w:proofErr w:type="gramStart"/>
      <w:r w:rsidRPr="00527ED2">
        <w:t>the</w:t>
      </w:r>
      <w:proofErr w:type="gramEnd"/>
      <w:r w:rsidRPr="00527ED2">
        <w:t xml:space="preserve"> granting of a “lease in perpetuity” under section 23(A) of Western Lands Act 1901 (NSW) for grazing purposes,</w:t>
      </w:r>
      <w:r w:rsidRPr="003E4FFE">
        <w:t xml:space="preserve"> </w:t>
      </w:r>
    </w:p>
    <w:p w:rsidR="00E452DE" w:rsidRDefault="00E452DE" w:rsidP="00E452DE">
      <w:pPr>
        <w:ind w:left="851" w:hanging="720"/>
      </w:pPr>
      <w:r w:rsidRPr="003E4FFE">
        <w:t>(c)</w:t>
      </w:r>
      <w:r w:rsidRPr="003E4FFE">
        <w:tab/>
      </w:r>
      <w:proofErr w:type="gramStart"/>
      <w:r w:rsidRPr="003E4FFE">
        <w:t>the</w:t>
      </w:r>
      <w:proofErr w:type="gramEnd"/>
      <w:r w:rsidRPr="003E4FFE">
        <w:t xml:space="preserve"> construction</w:t>
      </w:r>
      <w:r>
        <w:t xml:space="preserve"> or establishment of a public work, or</w:t>
      </w:r>
    </w:p>
    <w:p w:rsidR="00E452DE" w:rsidRDefault="00E452DE" w:rsidP="00E452DE">
      <w:pPr>
        <w:ind w:left="851" w:hanging="720"/>
      </w:pPr>
      <w:r>
        <w:t>(d)</w:t>
      </w:r>
      <w:r>
        <w:tab/>
      </w:r>
      <w:proofErr w:type="gramStart"/>
      <w:r>
        <w:t>a</w:t>
      </w:r>
      <w:proofErr w:type="gramEnd"/>
      <w:r>
        <w:t xml:space="preserve"> “Scheduled Interest” for New South Wales as listed in Schedule 1 of the CNTA.</w:t>
      </w:r>
    </w:p>
    <w:p w:rsidR="00E452DE" w:rsidRDefault="00E452DE" w:rsidP="00E452DE">
      <w:r>
        <w:t xml:space="preserve">See section 5A and </w:t>
      </w:r>
      <w:r w:rsidRPr="00216679">
        <w:rPr>
          <w:b/>
        </w:rPr>
        <w:t>Appendix 2</w:t>
      </w:r>
      <w:r>
        <w:t xml:space="preserve"> of the </w:t>
      </w:r>
      <w:r w:rsidRPr="000F6E57">
        <w:rPr>
          <w:i/>
        </w:rPr>
        <w:t>Industry Guidelines</w:t>
      </w:r>
      <w:r>
        <w:t xml:space="preserve"> for further detail.</w:t>
      </w:r>
    </w:p>
    <w:p w:rsidR="00E452DE" w:rsidRDefault="00E452DE">
      <w:pPr>
        <w:spacing w:before="0" w:after="200" w:line="276" w:lineRule="auto"/>
        <w:rPr>
          <w:b/>
        </w:rPr>
      </w:pPr>
      <w:r>
        <w:rPr>
          <w:b/>
        </w:rPr>
        <w:br w:type="page"/>
      </w:r>
    </w:p>
    <w:p w:rsidR="00E452DE" w:rsidRPr="004D778A" w:rsidRDefault="00A4737A" w:rsidP="00A4737A">
      <w:pPr>
        <w:spacing w:before="480"/>
        <w:rPr>
          <w:b/>
        </w:rPr>
      </w:pPr>
      <w:r>
        <w:rPr>
          <w:b/>
        </w:rPr>
        <w:lastRenderedPageBreak/>
        <w:br/>
      </w:r>
      <w:r w:rsidR="00E452DE" w:rsidRPr="004D778A">
        <w:rPr>
          <w:b/>
        </w:rPr>
        <w:t>Information to be provided</w:t>
      </w:r>
    </w:p>
    <w:p w:rsidR="00E452DE" w:rsidRPr="00464A4D" w:rsidRDefault="00E452DE" w:rsidP="00A4737A">
      <w:pPr>
        <w:spacing w:before="120"/>
      </w:pPr>
      <w:r w:rsidRPr="00464A4D">
        <w:t xml:space="preserve">The </w:t>
      </w:r>
      <w:r>
        <w:t>DRE</w:t>
      </w:r>
      <w:r w:rsidRPr="00464A4D">
        <w:t xml:space="preserve"> requires that the following information be provided:</w:t>
      </w:r>
    </w:p>
    <w:p w:rsidR="00E452DE" w:rsidRPr="009933DD" w:rsidRDefault="00E452DE" w:rsidP="00E452DE">
      <w:pPr>
        <w:rPr>
          <w:b/>
        </w:rPr>
      </w:pPr>
      <w:r w:rsidRPr="009933DD">
        <w:rPr>
          <w:b/>
        </w:rPr>
        <w:t>1.</w:t>
      </w:r>
      <w:r w:rsidRPr="009933DD">
        <w:rPr>
          <w:b/>
        </w:rPr>
        <w:tab/>
        <w:t>Statement by the Applicant</w:t>
      </w:r>
    </w:p>
    <w:p w:rsidR="00E452DE" w:rsidRPr="00464A4D" w:rsidRDefault="00E452DE" w:rsidP="00E452DE">
      <w:r w:rsidRPr="00464A4D">
        <w:t>A statement is required from the applicant as to:</w:t>
      </w:r>
    </w:p>
    <w:p w:rsidR="00E452DE" w:rsidRPr="00390F17" w:rsidRDefault="00E452DE" w:rsidP="00E452DE">
      <w:pPr>
        <w:pStyle w:val="ListParagraph"/>
        <w:numPr>
          <w:ilvl w:val="0"/>
          <w:numId w:val="1"/>
        </w:numPr>
        <w:ind w:left="426"/>
      </w:pPr>
      <w:r w:rsidRPr="00464A4D">
        <w:t>whether the applic</w:t>
      </w:r>
      <w:r w:rsidRPr="00390F17">
        <w:t xml:space="preserve">ant believes the </w:t>
      </w:r>
      <w:r w:rsidRPr="00067AE9">
        <w:t>CNTA</w:t>
      </w:r>
      <w:r w:rsidRPr="00390F17">
        <w:t xml:space="preserve"> will or will not apply to the</w:t>
      </w:r>
      <w:r>
        <w:t xml:space="preserve"> application area of the mining title;</w:t>
      </w:r>
    </w:p>
    <w:p w:rsidR="00E452DE" w:rsidRPr="00390F17" w:rsidRDefault="00E452DE" w:rsidP="00E452DE">
      <w:pPr>
        <w:pStyle w:val="ListParagraph"/>
        <w:numPr>
          <w:ilvl w:val="0"/>
          <w:numId w:val="1"/>
        </w:numPr>
        <w:ind w:left="426"/>
      </w:pPr>
      <w:proofErr w:type="gramStart"/>
      <w:r w:rsidRPr="00390F17">
        <w:t>the</w:t>
      </w:r>
      <w:proofErr w:type="gramEnd"/>
      <w:r w:rsidRPr="00390F17">
        <w:t xml:space="preserve"> reason as to why the applicant asserts that the </w:t>
      </w:r>
      <w:r w:rsidRPr="00067AE9">
        <w:t>CNTA</w:t>
      </w:r>
      <w:r w:rsidRPr="00390F17">
        <w:t xml:space="preserve"> will or will not apply to the</w:t>
      </w:r>
      <w:r>
        <w:t xml:space="preserve"> mining title</w:t>
      </w:r>
      <w:r w:rsidRPr="00390F17">
        <w:t>.</w:t>
      </w:r>
    </w:p>
    <w:p w:rsidR="00E452DE" w:rsidRPr="00F14DE6" w:rsidRDefault="00E452DE" w:rsidP="00A4737A">
      <w:pPr>
        <w:spacing w:before="120"/>
        <w:rPr>
          <w:rFonts w:cs="Arial"/>
        </w:rPr>
      </w:pPr>
      <w:r w:rsidRPr="00F14DE6">
        <w:rPr>
          <w:rFonts w:cs="Arial"/>
        </w:rPr>
        <w:t xml:space="preserve">This </w:t>
      </w:r>
      <w:r w:rsidRPr="00F14DE6">
        <w:t>statement</w:t>
      </w:r>
      <w:r w:rsidRPr="00F14DE6">
        <w:rPr>
          <w:rFonts w:cs="Arial"/>
        </w:rPr>
        <w:t xml:space="preserve"> should be accompanied by supporting information such as legal </w:t>
      </w:r>
      <w:r w:rsidRPr="004D778A">
        <w:t>advice</w:t>
      </w:r>
      <w:r w:rsidRPr="00F14DE6">
        <w:rPr>
          <w:rFonts w:cs="Arial"/>
        </w:rPr>
        <w:t xml:space="preserve"> where applicable. </w:t>
      </w:r>
      <w:r>
        <w:rPr>
          <w:rFonts w:cs="Arial"/>
        </w:rPr>
        <w:t>If an</w:t>
      </w:r>
      <w:r w:rsidRPr="00F14DE6">
        <w:rPr>
          <w:rFonts w:cs="Arial"/>
        </w:rPr>
        <w:t xml:space="preserve"> indigenous land use agreement (ILUA) </w:t>
      </w:r>
      <w:r>
        <w:rPr>
          <w:rFonts w:cs="Arial"/>
        </w:rPr>
        <w:t>applies</w:t>
      </w:r>
      <w:r w:rsidRPr="00F14DE6">
        <w:rPr>
          <w:rFonts w:cs="Arial"/>
        </w:rPr>
        <w:t xml:space="preserve"> to the ALA or MLA </w:t>
      </w:r>
      <w:r>
        <w:rPr>
          <w:rFonts w:cs="Arial"/>
        </w:rPr>
        <w:t xml:space="preserve">area, a copy of the ILUA </w:t>
      </w:r>
      <w:r w:rsidRPr="00F14DE6">
        <w:rPr>
          <w:rFonts w:cs="Arial"/>
        </w:rPr>
        <w:t>should also be provided.</w:t>
      </w:r>
    </w:p>
    <w:p w:rsidR="00E452DE" w:rsidRPr="009933DD" w:rsidRDefault="00E452DE" w:rsidP="00E452DE">
      <w:pPr>
        <w:rPr>
          <w:b/>
        </w:rPr>
      </w:pPr>
      <w:r w:rsidRPr="009933DD">
        <w:rPr>
          <w:b/>
        </w:rPr>
        <w:t>2.</w:t>
      </w:r>
      <w:r w:rsidRPr="009933DD">
        <w:rPr>
          <w:b/>
        </w:rPr>
        <w:tab/>
      </w:r>
      <w:r>
        <w:rPr>
          <w:b/>
        </w:rPr>
        <w:t>Land t</w:t>
      </w:r>
      <w:r w:rsidRPr="009933DD">
        <w:rPr>
          <w:b/>
        </w:rPr>
        <w:t>enure schedule</w:t>
      </w:r>
    </w:p>
    <w:p w:rsidR="00E452DE" w:rsidRPr="00464A4D" w:rsidRDefault="00E452DE" w:rsidP="00A4737A">
      <w:pPr>
        <w:spacing w:before="120"/>
      </w:pPr>
      <w:r w:rsidRPr="00464A4D">
        <w:t xml:space="preserve">A template for the </w:t>
      </w:r>
      <w:r>
        <w:t xml:space="preserve">land </w:t>
      </w:r>
      <w:r w:rsidRPr="00464A4D">
        <w:t>tenure schedule is attached</w:t>
      </w:r>
      <w:r>
        <w:t xml:space="preserve">.  </w:t>
      </w:r>
      <w:r w:rsidRPr="00464A4D">
        <w:t xml:space="preserve">The </w:t>
      </w:r>
      <w:r>
        <w:t xml:space="preserve">land </w:t>
      </w:r>
      <w:r w:rsidRPr="00464A4D">
        <w:t>tenure schedule must generally set out:</w:t>
      </w:r>
    </w:p>
    <w:p w:rsidR="00E452DE" w:rsidRPr="00464A4D" w:rsidRDefault="00E452DE" w:rsidP="00E452DE">
      <w:pPr>
        <w:pStyle w:val="ListParagraph"/>
        <w:numPr>
          <w:ilvl w:val="0"/>
          <w:numId w:val="1"/>
        </w:numPr>
        <w:ind w:left="426"/>
      </w:pPr>
      <w:r w:rsidRPr="00464A4D">
        <w:t xml:space="preserve">the current title reference for </w:t>
      </w:r>
      <w:r w:rsidRPr="004D778A">
        <w:t>all</w:t>
      </w:r>
      <w:r w:rsidRPr="00464A4D">
        <w:t xml:space="preserve"> of the land the subject of the </w:t>
      </w:r>
      <w:r>
        <w:t>application area of the mining title</w:t>
      </w:r>
      <w:r w:rsidRPr="00464A4D">
        <w:t>;</w:t>
      </w:r>
    </w:p>
    <w:p w:rsidR="00E452DE" w:rsidRDefault="00E452DE" w:rsidP="00E452DE">
      <w:pPr>
        <w:pStyle w:val="ListParagraph"/>
        <w:numPr>
          <w:ilvl w:val="0"/>
          <w:numId w:val="1"/>
        </w:numPr>
        <w:ind w:left="426"/>
      </w:pPr>
      <w:r w:rsidRPr="00464A4D">
        <w:t>the current lot/plan description;</w:t>
      </w:r>
    </w:p>
    <w:p w:rsidR="00E452DE" w:rsidRPr="00464A4D" w:rsidRDefault="00E452DE" w:rsidP="00E452DE">
      <w:pPr>
        <w:pStyle w:val="ListParagraph"/>
        <w:numPr>
          <w:ilvl w:val="0"/>
          <w:numId w:val="1"/>
        </w:numPr>
        <w:ind w:left="426"/>
      </w:pPr>
      <w:r>
        <w:t>land tenure</w:t>
      </w:r>
    </w:p>
    <w:p w:rsidR="00E452DE" w:rsidRPr="00464A4D" w:rsidRDefault="00E452DE" w:rsidP="00E452DE">
      <w:pPr>
        <w:pStyle w:val="ListParagraph"/>
        <w:numPr>
          <w:ilvl w:val="0"/>
          <w:numId w:val="1"/>
        </w:numPr>
        <w:ind w:left="426"/>
      </w:pPr>
      <w:r w:rsidRPr="00464A4D">
        <w:t>the owner of the land;</w:t>
      </w:r>
    </w:p>
    <w:p w:rsidR="00E452DE" w:rsidRPr="00464A4D" w:rsidRDefault="00E452DE" w:rsidP="00E452DE">
      <w:pPr>
        <w:pStyle w:val="ListParagraph"/>
        <w:numPr>
          <w:ilvl w:val="0"/>
          <w:numId w:val="1"/>
        </w:numPr>
        <w:ind w:left="426"/>
      </w:pPr>
      <w:r w:rsidRPr="00464A4D">
        <w:t>relevant historical title references;</w:t>
      </w:r>
    </w:p>
    <w:p w:rsidR="00E452DE" w:rsidRPr="00464A4D" w:rsidRDefault="00E452DE" w:rsidP="00E452DE">
      <w:pPr>
        <w:pStyle w:val="ListParagraph"/>
        <w:numPr>
          <w:ilvl w:val="0"/>
          <w:numId w:val="1"/>
        </w:numPr>
        <w:ind w:left="426"/>
      </w:pPr>
      <w:r w:rsidRPr="00464A4D">
        <w:t>whether the applicant asserts native title has been extinguished;</w:t>
      </w:r>
    </w:p>
    <w:p w:rsidR="00E452DE" w:rsidRPr="00464A4D" w:rsidRDefault="00E452DE" w:rsidP="00E452DE">
      <w:pPr>
        <w:pStyle w:val="ListParagraph"/>
        <w:numPr>
          <w:ilvl w:val="0"/>
          <w:numId w:val="1"/>
        </w:numPr>
        <w:ind w:left="426"/>
      </w:pPr>
      <w:proofErr w:type="gramStart"/>
      <w:r w:rsidRPr="00464A4D">
        <w:t>reasons</w:t>
      </w:r>
      <w:proofErr w:type="gramEnd"/>
      <w:r w:rsidRPr="00464A4D">
        <w:t xml:space="preserve"> why the applicant asserts native title has been extinguished.</w:t>
      </w:r>
    </w:p>
    <w:p w:rsidR="00E452DE" w:rsidRPr="009933DD" w:rsidRDefault="00E452DE" w:rsidP="00E452DE">
      <w:pPr>
        <w:rPr>
          <w:b/>
        </w:rPr>
      </w:pPr>
      <w:r w:rsidRPr="009933DD">
        <w:rPr>
          <w:b/>
        </w:rPr>
        <w:t>3.</w:t>
      </w:r>
      <w:r w:rsidRPr="009933DD">
        <w:rPr>
          <w:b/>
        </w:rPr>
        <w:tab/>
        <w:t>Identification map</w:t>
      </w:r>
      <w:r>
        <w:rPr>
          <w:b/>
        </w:rPr>
        <w:t xml:space="preserve"> </w:t>
      </w:r>
    </w:p>
    <w:p w:rsidR="00E452DE" w:rsidRPr="00464A4D" w:rsidRDefault="00E452DE" w:rsidP="00A4737A">
      <w:pPr>
        <w:spacing w:before="120"/>
      </w:pPr>
      <w:r w:rsidRPr="00464A4D">
        <w:t xml:space="preserve">The identification </w:t>
      </w:r>
      <w:r w:rsidRPr="00A4737A">
        <w:rPr>
          <w:rFonts w:cs="Arial"/>
        </w:rPr>
        <w:t>map</w:t>
      </w:r>
      <w:r w:rsidRPr="00464A4D">
        <w:t xml:space="preserve"> must show the boundary of the </w:t>
      </w:r>
      <w:r>
        <w:t>application area of the mining title</w:t>
      </w:r>
      <w:r w:rsidRPr="00464A4D">
        <w:t>.as well as:</w:t>
      </w:r>
    </w:p>
    <w:p w:rsidR="00E452DE" w:rsidRPr="00464A4D" w:rsidRDefault="00E452DE" w:rsidP="00E452DE">
      <w:pPr>
        <w:pStyle w:val="ListParagraph"/>
        <w:numPr>
          <w:ilvl w:val="0"/>
          <w:numId w:val="1"/>
        </w:numPr>
        <w:ind w:left="426"/>
      </w:pPr>
      <w:r w:rsidRPr="00464A4D">
        <w:t xml:space="preserve">underlying land ownership boundaries; </w:t>
      </w:r>
    </w:p>
    <w:p w:rsidR="00E452DE" w:rsidRPr="00464A4D" w:rsidRDefault="00E452DE" w:rsidP="00E452DE">
      <w:pPr>
        <w:pStyle w:val="ListParagraph"/>
        <w:numPr>
          <w:ilvl w:val="0"/>
          <w:numId w:val="1"/>
        </w:numPr>
        <w:ind w:left="426"/>
      </w:pPr>
      <w:r w:rsidRPr="00464A4D">
        <w:t>the lot and plan numbers; and</w:t>
      </w:r>
    </w:p>
    <w:p w:rsidR="00E452DE" w:rsidRDefault="00E452DE" w:rsidP="00E452DE">
      <w:pPr>
        <w:pStyle w:val="ListParagraph"/>
        <w:numPr>
          <w:ilvl w:val="0"/>
          <w:numId w:val="1"/>
        </w:numPr>
        <w:ind w:left="426"/>
      </w:pPr>
      <w:proofErr w:type="gramStart"/>
      <w:r w:rsidRPr="00464A4D">
        <w:t>a</w:t>
      </w:r>
      <w:proofErr w:type="gramEnd"/>
      <w:r w:rsidRPr="00464A4D">
        <w:t xml:space="preserve"> scale and north facing arrow.</w:t>
      </w:r>
    </w:p>
    <w:p w:rsidR="00A4737A" w:rsidRPr="00464A4D" w:rsidRDefault="00A4737A" w:rsidP="00A4737A">
      <w:pPr>
        <w:pStyle w:val="ListParagraph"/>
        <w:ind w:left="426"/>
      </w:pPr>
    </w:p>
    <w:p w:rsidR="00E452DE" w:rsidRPr="009933DD" w:rsidRDefault="00E452DE" w:rsidP="00E452DE">
      <w:pPr>
        <w:rPr>
          <w:b/>
        </w:rPr>
      </w:pPr>
      <w:r w:rsidRPr="009933DD">
        <w:rPr>
          <w:b/>
        </w:rPr>
        <w:lastRenderedPageBreak/>
        <w:t>4.</w:t>
      </w:r>
      <w:r w:rsidRPr="009933DD">
        <w:rPr>
          <w:b/>
        </w:rPr>
        <w:tab/>
        <w:t>National Native Tribunal Report</w:t>
      </w:r>
    </w:p>
    <w:p w:rsidR="00E452DE" w:rsidRDefault="00E452DE" w:rsidP="00E452DE">
      <w:r w:rsidRPr="00464A4D">
        <w:t xml:space="preserve">A copy of a report </w:t>
      </w:r>
      <w:r>
        <w:t>from</w:t>
      </w:r>
      <w:r w:rsidRPr="00464A4D">
        <w:t xml:space="preserve"> the National Native Title Tribunal must be provided disclosing whether any native title claimant application is before the Federal Court, or whether a determination of native title has been made by the Federal Court in relation to any of the la</w:t>
      </w:r>
      <w:r>
        <w:t>nd within the application area.</w:t>
      </w:r>
    </w:p>
    <w:p w:rsidR="00E452DE" w:rsidRPr="00464A4D" w:rsidRDefault="00E452DE" w:rsidP="00E452DE">
      <w:pPr>
        <w:rPr>
          <w:i/>
        </w:rPr>
      </w:pPr>
      <w:r w:rsidRPr="00464A4D">
        <w:t>An Indigenous Land Use Agreement (ILUA) is of no relevance unless the a</w:t>
      </w:r>
      <w:r>
        <w:t>pplicant is a party to the ILUA.</w:t>
      </w:r>
    </w:p>
    <w:p w:rsidR="00E452DE" w:rsidRPr="009933DD" w:rsidRDefault="00E452DE" w:rsidP="00E452DE">
      <w:pPr>
        <w:rPr>
          <w:b/>
        </w:rPr>
      </w:pPr>
      <w:r w:rsidRPr="009933DD">
        <w:rPr>
          <w:b/>
        </w:rPr>
        <w:t>5.</w:t>
      </w:r>
      <w:r w:rsidRPr="009933DD">
        <w:rPr>
          <w:b/>
        </w:rPr>
        <w:tab/>
        <w:t xml:space="preserve">Supporting documents </w:t>
      </w:r>
    </w:p>
    <w:p w:rsidR="00E452DE" w:rsidRPr="00464A4D" w:rsidRDefault="00E452DE" w:rsidP="00E452DE">
      <w:r w:rsidRPr="00464A4D">
        <w:t xml:space="preserve">Supporting documents are required from the </w:t>
      </w:r>
      <w:r>
        <w:t>a</w:t>
      </w:r>
      <w:r w:rsidRPr="00464A4D">
        <w:t>pplicant to support the information contained in the statement by the applicant and the tenure schedule</w:t>
      </w:r>
      <w:r>
        <w:t xml:space="preserve">.  </w:t>
      </w:r>
      <w:r w:rsidRPr="00464A4D">
        <w:t>The supporting documents may include the following:</w:t>
      </w:r>
    </w:p>
    <w:p w:rsidR="00E452DE" w:rsidRPr="009933DD" w:rsidRDefault="00E452DE" w:rsidP="00E452DE">
      <w:pPr>
        <w:pStyle w:val="ListParagraph"/>
        <w:numPr>
          <w:ilvl w:val="0"/>
          <w:numId w:val="1"/>
        </w:numPr>
        <w:ind w:left="426"/>
      </w:pPr>
      <w:r w:rsidRPr="009933DD">
        <w:t>Maps relevant to Crown roads</w:t>
      </w:r>
    </w:p>
    <w:p w:rsidR="00E452DE" w:rsidRPr="00464A4D" w:rsidRDefault="00E452DE" w:rsidP="00E452DE">
      <w:r w:rsidRPr="00464A4D">
        <w:t xml:space="preserve">When asserting native title over a Crown road has been extinguished, the parish map charted to the date most relevant in time </w:t>
      </w:r>
      <w:r>
        <w:t xml:space="preserve">(but pre dating) </w:t>
      </w:r>
      <w:r w:rsidRPr="00464A4D">
        <w:t xml:space="preserve">to the commencement of the </w:t>
      </w:r>
      <w:r w:rsidRPr="00464A4D">
        <w:rPr>
          <w:i/>
        </w:rPr>
        <w:t>Roads Act 1993</w:t>
      </w:r>
      <w:r w:rsidRPr="00464A4D">
        <w:t xml:space="preserve"> </w:t>
      </w:r>
      <w:r>
        <w:t>(NSW) (</w:t>
      </w:r>
      <w:r w:rsidRPr="00115076">
        <w:t>being 1 July 1993</w:t>
      </w:r>
      <w:r>
        <w:t xml:space="preserve">) </w:t>
      </w:r>
      <w:r w:rsidRPr="00464A4D">
        <w:t>must be provided</w:t>
      </w:r>
      <w:r>
        <w:t xml:space="preserve">.  </w:t>
      </w:r>
    </w:p>
    <w:p w:rsidR="00E452DE" w:rsidRPr="009933DD" w:rsidRDefault="00E452DE" w:rsidP="00E452DE">
      <w:pPr>
        <w:pStyle w:val="ListParagraph"/>
        <w:numPr>
          <w:ilvl w:val="0"/>
          <w:numId w:val="1"/>
        </w:numPr>
        <w:ind w:left="426"/>
      </w:pPr>
      <w:r w:rsidRPr="009933DD">
        <w:t>Original documents</w:t>
      </w:r>
    </w:p>
    <w:p w:rsidR="00E452DE" w:rsidRPr="00464A4D" w:rsidRDefault="00E452DE" w:rsidP="00E452DE">
      <w:r w:rsidRPr="00464A4D">
        <w:rPr>
          <w:noProof/>
          <w:lang w:eastAsia="en-AU"/>
        </w:rPr>
        <w:t xml:space="preserve">Where available from the Land &amp; Property Information division of the Office of Finance </w:t>
      </w:r>
      <w:r w:rsidRPr="00464A4D">
        <w:t>and</w:t>
      </w:r>
      <w:r w:rsidRPr="00464A4D">
        <w:rPr>
          <w:noProof/>
          <w:lang w:eastAsia="en-AU"/>
        </w:rPr>
        <w:t xml:space="preserve"> Services, copies of</w:t>
      </w:r>
      <w:r w:rsidRPr="00464A4D">
        <w:t xml:space="preserve"> documents that evidence extinguishment of native title are required (e.g</w:t>
      </w:r>
      <w:r>
        <w:t xml:space="preserve">. </w:t>
      </w:r>
      <w:r w:rsidRPr="00464A4D">
        <w:t>a copy of the Crown grant deed</w:t>
      </w:r>
      <w:r>
        <w:t xml:space="preserve"> or a copy of a Scheduled Interest</w:t>
      </w:r>
      <w:r w:rsidRPr="00464A4D">
        <w:t>)</w:t>
      </w:r>
      <w:r>
        <w:t xml:space="preserve">.  </w:t>
      </w:r>
      <w:r w:rsidRPr="00464A4D">
        <w:t>Provision of a later document which purports to record such a grant is not acceptable</w:t>
      </w:r>
      <w:r>
        <w:t xml:space="preserve">.  </w:t>
      </w:r>
      <w:r w:rsidRPr="00464A4D">
        <w:t>The whole of the relevant document should be provided</w:t>
      </w:r>
      <w:r>
        <w:t xml:space="preserve"> in sufficient resolution to be readable</w:t>
      </w:r>
      <w:r w:rsidRPr="00464A4D">
        <w:t xml:space="preserve"> – extracts </w:t>
      </w:r>
      <w:r>
        <w:t xml:space="preserve">of the document </w:t>
      </w:r>
      <w:r w:rsidRPr="00464A4D">
        <w:t>are insufficient</w:t>
      </w:r>
      <w:r>
        <w:t xml:space="preserve">.  </w:t>
      </w:r>
      <w:r w:rsidRPr="009D3E31">
        <w:t>There is no need to provide documents that evidence partial extinguishment as the right to negotiate process must be complied with</w:t>
      </w:r>
      <w:r>
        <w:t xml:space="preserve"> in this situation</w:t>
      </w:r>
      <w:r w:rsidRPr="009D3E31">
        <w:t>.</w:t>
      </w:r>
    </w:p>
    <w:p w:rsidR="00E452DE" w:rsidRPr="009933DD" w:rsidRDefault="00E452DE" w:rsidP="00E452DE">
      <w:pPr>
        <w:pStyle w:val="ListParagraph"/>
        <w:numPr>
          <w:ilvl w:val="0"/>
          <w:numId w:val="1"/>
        </w:numPr>
        <w:ind w:left="426"/>
      </w:pPr>
      <w:r w:rsidRPr="009933DD">
        <w:t>Title searches</w:t>
      </w:r>
    </w:p>
    <w:p w:rsidR="00E452DE" w:rsidRPr="00464A4D" w:rsidRDefault="00E452DE" w:rsidP="00E452DE">
      <w:r w:rsidRPr="00464A4D">
        <w:t>A copy of the current and historic title searches for each parcel of land referred to in the tenure schedule must be provided.</w:t>
      </w:r>
    </w:p>
    <w:p w:rsidR="00E452DE" w:rsidRPr="004D778A" w:rsidRDefault="00E452DE" w:rsidP="00E452DE">
      <w:pPr>
        <w:rPr>
          <w:b/>
        </w:rPr>
      </w:pPr>
      <w:r w:rsidRPr="004D778A">
        <w:rPr>
          <w:b/>
        </w:rPr>
        <w:t>Timing for provision of information</w:t>
      </w:r>
    </w:p>
    <w:p w:rsidR="00E452DE" w:rsidRPr="00464A4D" w:rsidRDefault="00E452DE" w:rsidP="00E452DE">
      <w:r>
        <w:t>If an Authorisation or Title is to be granted on the basis that native title has been extinguished, t</w:t>
      </w:r>
      <w:r w:rsidRPr="00464A4D">
        <w:t xml:space="preserve">he </w:t>
      </w:r>
      <w:r>
        <w:t>DRE</w:t>
      </w:r>
      <w:r w:rsidRPr="00464A4D">
        <w:t xml:space="preserve"> must </w:t>
      </w:r>
      <w:r>
        <w:t>be satisfied</w:t>
      </w:r>
      <w:r w:rsidRPr="00464A4D">
        <w:t xml:space="preserve"> that native title has been extinguished prior to </w:t>
      </w:r>
      <w:r w:rsidRPr="00464A4D" w:rsidDel="00460E05">
        <w:t xml:space="preserve">an </w:t>
      </w:r>
      <w:r>
        <w:t xml:space="preserve">Authorisation or Title </w:t>
      </w:r>
      <w:r w:rsidRPr="00464A4D" w:rsidDel="00460E05">
        <w:t>being granted</w:t>
      </w:r>
      <w:r>
        <w:t>.</w:t>
      </w:r>
    </w:p>
    <w:p w:rsidR="00E452DE" w:rsidRPr="00464A4D" w:rsidRDefault="00E452DE" w:rsidP="00E452DE">
      <w:r w:rsidRPr="00464A4D">
        <w:t xml:space="preserve">The information may be provided to the </w:t>
      </w:r>
      <w:r>
        <w:t>DRE</w:t>
      </w:r>
      <w:r w:rsidRPr="00464A4D">
        <w:t xml:space="preserve"> any time during the application process</w:t>
      </w:r>
      <w:r>
        <w:t xml:space="preserve">.  </w:t>
      </w:r>
      <w:r w:rsidRPr="00464A4D">
        <w:t xml:space="preserve">However, applicants should be aware that completion of the assessment process may become protracted where it is necessary to seek further information from the </w:t>
      </w:r>
      <w:r>
        <w:t>a</w:t>
      </w:r>
      <w:r w:rsidRPr="00464A4D">
        <w:t>pplicant</w:t>
      </w:r>
      <w:r>
        <w:t>.  A</w:t>
      </w:r>
      <w:r w:rsidRPr="00464A4D">
        <w:t xml:space="preserve">pplicants are encouraged to provide the </w:t>
      </w:r>
      <w:r>
        <w:t>proof of extinguishment of native title</w:t>
      </w:r>
      <w:r w:rsidRPr="00464A4D">
        <w:t xml:space="preserve"> either with the application or as early in the application process as possible.</w:t>
      </w:r>
    </w:p>
    <w:p w:rsidR="00E452DE" w:rsidRPr="004D778A" w:rsidRDefault="00E452DE" w:rsidP="00E452DE">
      <w:pPr>
        <w:rPr>
          <w:b/>
        </w:rPr>
      </w:pPr>
      <w:r w:rsidRPr="004D778A">
        <w:rPr>
          <w:b/>
        </w:rPr>
        <w:lastRenderedPageBreak/>
        <w:t>Presentation</w:t>
      </w:r>
    </w:p>
    <w:p w:rsidR="00E452DE" w:rsidRPr="00464A4D" w:rsidRDefault="00E452DE" w:rsidP="00E452DE">
      <w:r w:rsidRPr="00464A4D">
        <w:t>The applicant must present the information in a logical manner</w:t>
      </w:r>
      <w:r>
        <w:t xml:space="preserve">.  </w:t>
      </w:r>
      <w:r w:rsidRPr="00464A4D">
        <w:t xml:space="preserve">Where </w:t>
      </w:r>
      <w:r>
        <w:t xml:space="preserve">land </w:t>
      </w:r>
      <w:r w:rsidRPr="00464A4D">
        <w:t>tenure documents are applicable to more than one lot and plan, cross</w:t>
      </w:r>
      <w:r>
        <w:t>-</w:t>
      </w:r>
      <w:r w:rsidRPr="00464A4D">
        <w:t>references should be used making it clear</w:t>
      </w:r>
      <w:r>
        <w:t xml:space="preserve">.  </w:t>
      </w:r>
    </w:p>
    <w:p w:rsidR="00E452DE" w:rsidRPr="00464A4D" w:rsidRDefault="00E452DE" w:rsidP="00E452DE">
      <w:pPr>
        <w:rPr>
          <w:b/>
        </w:rPr>
      </w:pPr>
      <w:r w:rsidRPr="00464A4D">
        <w:t>Documents provided must be of sufficient resolution and quality such that all information including dates and title identifiers (such as the Lot or portion numbers, or the volume and folio reference) are legible.</w:t>
      </w:r>
    </w:p>
    <w:p w:rsidR="00E452DE" w:rsidRPr="004D778A" w:rsidRDefault="00E452DE" w:rsidP="00E452DE">
      <w:pPr>
        <w:rPr>
          <w:b/>
        </w:rPr>
      </w:pPr>
      <w:r w:rsidRPr="004D778A">
        <w:rPr>
          <w:b/>
        </w:rPr>
        <w:t>Certification</w:t>
      </w:r>
    </w:p>
    <w:p w:rsidR="00E452DE" w:rsidRPr="00464A4D" w:rsidRDefault="00E452DE" w:rsidP="00E452DE">
      <w:r w:rsidRPr="00464A4D">
        <w:t xml:space="preserve">Certified copies </w:t>
      </w:r>
      <w:r>
        <w:t xml:space="preserve">of documents </w:t>
      </w:r>
      <w:r w:rsidRPr="00464A4D">
        <w:t xml:space="preserve">relied upon </w:t>
      </w:r>
      <w:r>
        <w:t xml:space="preserve">by the applicant </w:t>
      </w:r>
      <w:r w:rsidRPr="00464A4D">
        <w:t>are not required to be provided at the making of the application</w:t>
      </w:r>
      <w:r>
        <w:t xml:space="preserve">.  </w:t>
      </w:r>
      <w:proofErr w:type="gramStart"/>
      <w:r w:rsidRPr="00464A4D">
        <w:t xml:space="preserve">However, if the </w:t>
      </w:r>
      <w:r>
        <w:t>d</w:t>
      </w:r>
      <w:r w:rsidRPr="00464A4D">
        <w:t xml:space="preserve">epartment so requests, the applicant must provide certified copies of </w:t>
      </w:r>
      <w:r>
        <w:t>the</w:t>
      </w:r>
      <w:r w:rsidRPr="00464A4D">
        <w:t xml:space="preserve"> documents</w:t>
      </w:r>
      <w:r>
        <w:t xml:space="preserve"> identified.</w:t>
      </w:r>
      <w:proofErr w:type="gramEnd"/>
    </w:p>
    <w:p w:rsidR="00E452DE" w:rsidRPr="00464A4D" w:rsidRDefault="00E452DE" w:rsidP="00E452DE">
      <w:r w:rsidRPr="00464A4D">
        <w:t>The cost of the provision of the certified copies is to be borne by the applicant.</w:t>
      </w:r>
    </w:p>
    <w:p w:rsidR="00E452DE" w:rsidRPr="004D778A" w:rsidRDefault="00E452DE" w:rsidP="00E452DE">
      <w:pPr>
        <w:rPr>
          <w:b/>
        </w:rPr>
      </w:pPr>
      <w:r w:rsidRPr="004D778A">
        <w:rPr>
          <w:b/>
        </w:rPr>
        <w:t>Contact details</w:t>
      </w:r>
    </w:p>
    <w:p w:rsidR="00E452DE" w:rsidRPr="00464A4D" w:rsidRDefault="00E452DE" w:rsidP="00E452DE">
      <w:r w:rsidRPr="00464A4D">
        <w:t xml:space="preserve">The </w:t>
      </w:r>
      <w:r>
        <w:t>DRE</w:t>
      </w:r>
      <w:r w:rsidRPr="00464A4D">
        <w:t xml:space="preserve"> may have further questions or require additional information.</w:t>
      </w:r>
      <w:r>
        <w:t xml:space="preserve">  </w:t>
      </w:r>
      <w:r w:rsidRPr="00464A4D">
        <w:t>Contact details must be provided for the relevant person to whom enquiries can be directed.</w:t>
      </w:r>
    </w:p>
    <w:p w:rsidR="0018214D" w:rsidRDefault="0018214D" w:rsidP="0018214D"/>
    <w:p w:rsidR="0018214D" w:rsidRDefault="0018214D" w:rsidP="0018214D">
      <w:pPr>
        <w:sectPr w:rsidR="0018214D" w:rsidSect="009639E8">
          <w:headerReference w:type="even" r:id="rId9"/>
          <w:headerReference w:type="default" r:id="rId10"/>
          <w:footerReference w:type="even" r:id="rId11"/>
          <w:footerReference w:type="default" r:id="rId12"/>
          <w:headerReference w:type="first" r:id="rId13"/>
          <w:footerReference w:type="first" r:id="rId14"/>
          <w:pgSz w:w="12240" w:h="15840"/>
          <w:pgMar w:top="1298" w:right="1718" w:bottom="981" w:left="1718" w:header="0" w:footer="384" w:gutter="0"/>
          <w:pgNumType w:start="1"/>
          <w:cols w:space="720"/>
          <w:titlePg/>
          <w:docGrid w:linePitch="299"/>
        </w:sectPr>
      </w:pPr>
    </w:p>
    <w:p w:rsidR="0018214D" w:rsidRDefault="0018214D" w:rsidP="0018214D">
      <w:pPr>
        <w:rPr>
          <w:b/>
        </w:rPr>
      </w:pPr>
      <w:r w:rsidRPr="004D778A">
        <w:rPr>
          <w:b/>
        </w:rPr>
        <w:lastRenderedPageBreak/>
        <w:t>Land and native title extinguishment assessment</w:t>
      </w:r>
    </w:p>
    <w:p w:rsidR="0018214D" w:rsidRPr="004D778A" w:rsidRDefault="0018214D" w:rsidP="0018214D">
      <w:pPr>
        <w:rPr>
          <w:b/>
        </w:rPr>
      </w:pPr>
    </w:p>
    <w:tbl>
      <w:tblPr>
        <w:tblStyle w:val="TableStyle"/>
        <w:tblW w:w="137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316"/>
        <w:gridCol w:w="1560"/>
        <w:gridCol w:w="1417"/>
        <w:gridCol w:w="2126"/>
        <w:gridCol w:w="1701"/>
        <w:gridCol w:w="4962"/>
      </w:tblGrid>
      <w:tr w:rsidR="0018214D" w:rsidRPr="00464A4D" w:rsidTr="001D62E2">
        <w:trPr>
          <w:cantSplit/>
          <w:tblHeader/>
        </w:trPr>
        <w:tc>
          <w:tcPr>
            <w:tcW w:w="13755" w:type="dxa"/>
            <w:gridSpan w:val="7"/>
            <w:tcBorders>
              <w:bottom w:val="single" w:sz="4" w:space="0" w:color="auto"/>
            </w:tcBorders>
            <w:shd w:val="clear" w:color="auto" w:fill="1F497D" w:themeFill="text2"/>
          </w:tcPr>
          <w:p w:rsidR="0018214D" w:rsidRPr="00464A4D" w:rsidRDefault="0018214D" w:rsidP="001D62E2">
            <w:r w:rsidRPr="00464A4D">
              <w:t>[Insert details of ALA or MLA]</w:t>
            </w:r>
          </w:p>
        </w:tc>
      </w:tr>
      <w:tr w:rsidR="0018214D" w:rsidRPr="00464A4D" w:rsidTr="001D62E2">
        <w:trPr>
          <w:cantSplit/>
          <w:tblHeader/>
        </w:trPr>
        <w:tc>
          <w:tcPr>
            <w:tcW w:w="673" w:type="dxa"/>
            <w:shd w:val="clear" w:color="auto" w:fill="BFBFBF" w:themeFill="background1" w:themeFillShade="BF"/>
          </w:tcPr>
          <w:p w:rsidR="0018214D" w:rsidRPr="00464A4D" w:rsidRDefault="0018214D" w:rsidP="001D62E2">
            <w:r w:rsidRPr="00464A4D">
              <w:t>No.</w:t>
            </w:r>
          </w:p>
        </w:tc>
        <w:tc>
          <w:tcPr>
            <w:tcW w:w="1316" w:type="dxa"/>
            <w:shd w:val="clear" w:color="auto" w:fill="BFBFBF" w:themeFill="background1" w:themeFillShade="BF"/>
          </w:tcPr>
          <w:p w:rsidR="0018214D" w:rsidRPr="00464A4D" w:rsidRDefault="0018214D" w:rsidP="001D62E2">
            <w:r w:rsidRPr="00464A4D">
              <w:t>Current Title Reference (Lot and DP)</w:t>
            </w:r>
          </w:p>
        </w:tc>
        <w:tc>
          <w:tcPr>
            <w:tcW w:w="1560" w:type="dxa"/>
            <w:shd w:val="clear" w:color="auto" w:fill="BFBFBF" w:themeFill="background1" w:themeFillShade="BF"/>
          </w:tcPr>
          <w:p w:rsidR="0018214D" w:rsidRPr="00464A4D" w:rsidRDefault="0018214D" w:rsidP="001D62E2">
            <w:r w:rsidRPr="00464A4D">
              <w:t xml:space="preserve">Tenure </w:t>
            </w:r>
          </w:p>
        </w:tc>
        <w:tc>
          <w:tcPr>
            <w:tcW w:w="1417" w:type="dxa"/>
            <w:shd w:val="clear" w:color="auto" w:fill="BFBFBF" w:themeFill="background1" w:themeFillShade="BF"/>
          </w:tcPr>
          <w:p w:rsidR="0018214D" w:rsidRPr="00464A4D" w:rsidRDefault="0018214D" w:rsidP="001D62E2">
            <w:r w:rsidRPr="00464A4D">
              <w:t>Owner</w:t>
            </w:r>
          </w:p>
        </w:tc>
        <w:tc>
          <w:tcPr>
            <w:tcW w:w="2126" w:type="dxa"/>
            <w:shd w:val="clear" w:color="auto" w:fill="BFBFBF" w:themeFill="background1" w:themeFillShade="BF"/>
          </w:tcPr>
          <w:p w:rsidR="0018214D" w:rsidRPr="00464A4D" w:rsidRDefault="0018214D" w:rsidP="001D62E2">
            <w:r w:rsidRPr="00464A4D">
              <w:t>Historical Title Reference (e.g</w:t>
            </w:r>
            <w:r>
              <w:t xml:space="preserve">. </w:t>
            </w:r>
            <w:r w:rsidRPr="00464A4D">
              <w:t>tenure and grant date)</w:t>
            </w:r>
          </w:p>
        </w:tc>
        <w:tc>
          <w:tcPr>
            <w:tcW w:w="1701" w:type="dxa"/>
            <w:shd w:val="clear" w:color="auto" w:fill="BFBFBF" w:themeFill="background1" w:themeFillShade="BF"/>
          </w:tcPr>
          <w:p w:rsidR="0018214D" w:rsidRPr="00464A4D" w:rsidRDefault="0018214D" w:rsidP="001D62E2">
            <w:r w:rsidRPr="00464A4D">
              <w:t>Is native title extinguished?</w:t>
            </w:r>
          </w:p>
        </w:tc>
        <w:tc>
          <w:tcPr>
            <w:tcW w:w="4962" w:type="dxa"/>
            <w:shd w:val="clear" w:color="auto" w:fill="BFBFBF" w:themeFill="background1" w:themeFillShade="BF"/>
          </w:tcPr>
          <w:p w:rsidR="0018214D" w:rsidRPr="00464A4D" w:rsidRDefault="0018214D" w:rsidP="001D62E2">
            <w:r w:rsidRPr="00464A4D">
              <w:t>Reasons as to why native title is extinguished</w:t>
            </w:r>
          </w:p>
        </w:tc>
      </w:tr>
      <w:tr w:rsidR="0018214D" w:rsidRPr="00464A4D" w:rsidTr="001D62E2">
        <w:tc>
          <w:tcPr>
            <w:tcW w:w="673" w:type="dxa"/>
          </w:tcPr>
          <w:p w:rsidR="0018214D" w:rsidRPr="00464A4D" w:rsidRDefault="0018214D" w:rsidP="001D62E2"/>
        </w:tc>
        <w:tc>
          <w:tcPr>
            <w:tcW w:w="1316" w:type="dxa"/>
          </w:tcPr>
          <w:p w:rsidR="0018214D" w:rsidRPr="00464A4D" w:rsidRDefault="0018214D" w:rsidP="001D62E2"/>
        </w:tc>
        <w:tc>
          <w:tcPr>
            <w:tcW w:w="1560" w:type="dxa"/>
          </w:tcPr>
          <w:p w:rsidR="0018214D" w:rsidRPr="00464A4D" w:rsidRDefault="0018214D" w:rsidP="001D62E2"/>
        </w:tc>
        <w:tc>
          <w:tcPr>
            <w:tcW w:w="1417" w:type="dxa"/>
          </w:tcPr>
          <w:p w:rsidR="0018214D" w:rsidRPr="00464A4D" w:rsidRDefault="0018214D" w:rsidP="001D62E2"/>
        </w:tc>
        <w:tc>
          <w:tcPr>
            <w:tcW w:w="2126" w:type="dxa"/>
          </w:tcPr>
          <w:p w:rsidR="0018214D" w:rsidRPr="00464A4D" w:rsidRDefault="0018214D" w:rsidP="001D62E2"/>
        </w:tc>
        <w:tc>
          <w:tcPr>
            <w:tcW w:w="1701" w:type="dxa"/>
          </w:tcPr>
          <w:p w:rsidR="0018214D" w:rsidRPr="00464A4D" w:rsidRDefault="0018214D" w:rsidP="001D62E2"/>
        </w:tc>
        <w:tc>
          <w:tcPr>
            <w:tcW w:w="4962" w:type="dxa"/>
          </w:tcPr>
          <w:p w:rsidR="0018214D" w:rsidRPr="00464A4D" w:rsidRDefault="0018214D" w:rsidP="001D62E2"/>
        </w:tc>
      </w:tr>
    </w:tbl>
    <w:p w:rsidR="0018214D" w:rsidRPr="004D778A" w:rsidRDefault="0018214D" w:rsidP="0018214D">
      <w:pPr>
        <w:rPr>
          <w:b/>
        </w:rPr>
      </w:pPr>
      <w:r w:rsidRPr="004D778A">
        <w:rPr>
          <w:b/>
        </w:rPr>
        <w:t>Attachments</w:t>
      </w:r>
    </w:p>
    <w:p w:rsidR="0018214D" w:rsidRPr="00464A4D" w:rsidRDefault="0018214D" w:rsidP="0018214D">
      <w:pPr>
        <w:pStyle w:val="ListParagraph"/>
      </w:pPr>
      <w:r w:rsidRPr="00464A4D">
        <w:t>[List all attachments provided as evidence to the above schedule]</w:t>
      </w:r>
    </w:p>
    <w:p w:rsidR="0018214D" w:rsidRPr="006C0FF8" w:rsidRDefault="0018214D" w:rsidP="0018214D"/>
    <w:p w:rsidR="0018214D" w:rsidRDefault="0018214D" w:rsidP="0018214D">
      <w:pPr>
        <w:ind w:left="709"/>
      </w:pPr>
    </w:p>
    <w:p w:rsidR="0018214D" w:rsidRDefault="0018214D" w:rsidP="0018214D">
      <w:r>
        <w:t xml:space="preserve">This document is to be read in conjunction with </w:t>
      </w:r>
      <w:r w:rsidRPr="00BE5FC0">
        <w:t>Industry Guidelines - Native title and the administration of exploration and mining legislation in New South Wales</w:t>
      </w:r>
      <w:r w:rsidRPr="000F6E57">
        <w:t>.</w:t>
      </w:r>
    </w:p>
    <w:p w:rsidR="0066428D" w:rsidRDefault="0066428D"/>
    <w:sectPr w:rsidR="0066428D" w:rsidSect="0018214D">
      <w:headerReference w:type="default" r:id="rId15"/>
      <w:footerReference w:type="default" r:id="rId16"/>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E7" w:rsidRDefault="005A1BE7" w:rsidP="00E452DE">
      <w:pPr>
        <w:spacing w:before="0" w:line="240" w:lineRule="auto"/>
      </w:pPr>
      <w:r>
        <w:separator/>
      </w:r>
    </w:p>
  </w:endnote>
  <w:endnote w:type="continuationSeparator" w:id="0">
    <w:p w:rsidR="005A1BE7" w:rsidRDefault="005A1BE7" w:rsidP="00E452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6" w:rsidRDefault="00DC3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4D" w:rsidRDefault="005A1BE7" w:rsidP="003E5743">
    <w:pPr>
      <w:pStyle w:val="Footer"/>
      <w:ind w:right="-268"/>
      <w:rPr>
        <w:sz w:val="16"/>
        <w:szCs w:val="16"/>
      </w:rPr>
    </w:pPr>
    <w:r>
      <w:rPr>
        <w:sz w:val="16"/>
        <w:szCs w:val="16"/>
      </w:rPr>
      <w:pict>
        <v:rect id="_x0000_i1025" style="width:0;height:1.5pt" o:hralign="center" o:hrstd="t" o:hr="t" fillcolor="#a0a0a0" stroked="f"/>
      </w:pict>
    </w:r>
  </w:p>
  <w:p w:rsidR="009639E8" w:rsidRPr="00E452DE" w:rsidRDefault="009639E8" w:rsidP="009639E8">
    <w:pPr>
      <w:tabs>
        <w:tab w:val="right" w:pos="8789"/>
        <w:tab w:val="right" w:pos="14034"/>
      </w:tabs>
      <w:rPr>
        <w:sz w:val="12"/>
        <w:szCs w:val="12"/>
      </w:rPr>
    </w:pPr>
    <w:r w:rsidRPr="00E452DE">
      <w:rPr>
        <w:sz w:val="12"/>
        <w:szCs w:val="12"/>
      </w:rPr>
      <w:t>PROTOCOL FOR EVIDENCING PROOF OF EXTINGUISHMENT OF NATIVE TITLE</w:t>
    </w:r>
    <w:r>
      <w:rPr>
        <w:sz w:val="12"/>
        <w:szCs w:val="12"/>
      </w:rPr>
      <w:tab/>
      <w:t xml:space="preserve">Page </w:t>
    </w:r>
    <w:r w:rsidRPr="00A4737A">
      <w:rPr>
        <w:sz w:val="12"/>
        <w:szCs w:val="12"/>
      </w:rPr>
      <w:fldChar w:fldCharType="begin"/>
    </w:r>
    <w:r w:rsidRPr="00A4737A">
      <w:rPr>
        <w:sz w:val="12"/>
        <w:szCs w:val="12"/>
      </w:rPr>
      <w:instrText xml:space="preserve"> PAGE   \* MERGEFORMAT </w:instrText>
    </w:r>
    <w:r w:rsidRPr="00A4737A">
      <w:rPr>
        <w:sz w:val="12"/>
        <w:szCs w:val="12"/>
      </w:rPr>
      <w:fldChar w:fldCharType="separate"/>
    </w:r>
    <w:r w:rsidR="00DC3606">
      <w:rPr>
        <w:noProof/>
        <w:sz w:val="12"/>
        <w:szCs w:val="12"/>
      </w:rPr>
      <w:t>4</w:t>
    </w:r>
    <w:r w:rsidRPr="00A4737A">
      <w:rPr>
        <w:noProof/>
        <w:sz w:val="12"/>
        <w:szCs w:val="12"/>
      </w:rPr>
      <w:fldChar w:fldCharType="end"/>
    </w:r>
  </w:p>
  <w:p w:rsidR="0018214D" w:rsidRPr="003E5743" w:rsidRDefault="0018214D" w:rsidP="009639E8">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E8" w:rsidRDefault="005A1BE7" w:rsidP="009639E8">
    <w:pPr>
      <w:tabs>
        <w:tab w:val="right" w:pos="8789"/>
        <w:tab w:val="right" w:pos="14034"/>
      </w:tabs>
      <w:rPr>
        <w:sz w:val="12"/>
        <w:szCs w:val="12"/>
      </w:rPr>
    </w:pPr>
    <w:r>
      <w:rPr>
        <w:sz w:val="16"/>
        <w:szCs w:val="16"/>
      </w:rPr>
      <w:pict>
        <v:rect id="_x0000_i1026" style="width:0;height:1.5pt" o:hralign="center" o:hrstd="t" o:hr="t" fillcolor="#a0a0a0" stroked="f"/>
      </w:pict>
    </w:r>
  </w:p>
  <w:p w:rsidR="009639E8" w:rsidRPr="00E452DE" w:rsidRDefault="009639E8" w:rsidP="009639E8">
    <w:pPr>
      <w:tabs>
        <w:tab w:val="right" w:pos="8789"/>
        <w:tab w:val="right" w:pos="14034"/>
      </w:tabs>
      <w:rPr>
        <w:sz w:val="12"/>
        <w:szCs w:val="12"/>
      </w:rPr>
    </w:pPr>
    <w:r w:rsidRPr="00E452DE">
      <w:rPr>
        <w:sz w:val="12"/>
        <w:szCs w:val="12"/>
      </w:rPr>
      <w:t>PROTOCOL FOR EVIDENCING PROOF OF EXTINGUISHMENT OF NATIVE TITLE</w:t>
    </w:r>
    <w:r>
      <w:rPr>
        <w:sz w:val="12"/>
        <w:szCs w:val="12"/>
      </w:rPr>
      <w:tab/>
      <w:t xml:space="preserve">Page </w:t>
    </w:r>
    <w:r w:rsidRPr="00A4737A">
      <w:rPr>
        <w:sz w:val="12"/>
        <w:szCs w:val="12"/>
      </w:rPr>
      <w:fldChar w:fldCharType="begin"/>
    </w:r>
    <w:r w:rsidRPr="00A4737A">
      <w:rPr>
        <w:sz w:val="12"/>
        <w:szCs w:val="12"/>
      </w:rPr>
      <w:instrText xml:space="preserve"> PAGE   \* MERGEFORMAT </w:instrText>
    </w:r>
    <w:r w:rsidRPr="00A4737A">
      <w:rPr>
        <w:sz w:val="12"/>
        <w:szCs w:val="12"/>
      </w:rPr>
      <w:fldChar w:fldCharType="separate"/>
    </w:r>
    <w:r w:rsidR="00DC3606">
      <w:rPr>
        <w:noProof/>
        <w:sz w:val="12"/>
        <w:szCs w:val="12"/>
      </w:rPr>
      <w:t>1</w:t>
    </w:r>
    <w:r w:rsidRPr="00A4737A">
      <w:rPr>
        <w:noProof/>
        <w:sz w:val="12"/>
        <w:szCs w:val="12"/>
      </w:rPr>
      <w:fldChar w:fldCharType="end"/>
    </w:r>
  </w:p>
  <w:p w:rsidR="009639E8" w:rsidRDefault="009639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DE" w:rsidRDefault="005A1BE7" w:rsidP="00E452DE">
    <w:pPr>
      <w:rPr>
        <w:i/>
        <w:sz w:val="16"/>
        <w:szCs w:val="16"/>
      </w:rPr>
    </w:pPr>
    <w:r>
      <w:rPr>
        <w:i/>
        <w:sz w:val="16"/>
        <w:szCs w:val="16"/>
      </w:rPr>
      <w:pict>
        <v:rect id="_x0000_i1027" style="width:0;height:1.5pt" o:hralign="center" o:hrstd="t" o:hr="t" fillcolor="#a0a0a0" stroked="f"/>
      </w:pict>
    </w:r>
  </w:p>
  <w:p w:rsidR="00E452DE" w:rsidRDefault="00E452DE" w:rsidP="00DC3606">
    <w:pPr>
      <w:tabs>
        <w:tab w:val="right" w:pos="14034"/>
      </w:tabs>
    </w:pPr>
    <w:r w:rsidRPr="00E452DE">
      <w:rPr>
        <w:sz w:val="12"/>
        <w:szCs w:val="12"/>
      </w:rPr>
      <w:t>PROTOCOL FOR EVIDENCING PROOF OF EXTINGUISHMENT OF NATIVE TITLE</w:t>
    </w:r>
    <w:r>
      <w:rPr>
        <w:sz w:val="12"/>
        <w:szCs w:val="12"/>
      </w:rPr>
      <w:tab/>
    </w:r>
    <w:r w:rsidR="00A4737A">
      <w:rPr>
        <w:sz w:val="12"/>
        <w:szCs w:val="12"/>
      </w:rPr>
      <w:t xml:space="preserve">Page </w:t>
    </w:r>
    <w:r w:rsidR="00A4737A" w:rsidRPr="00A4737A">
      <w:rPr>
        <w:sz w:val="12"/>
        <w:szCs w:val="12"/>
      </w:rPr>
      <w:fldChar w:fldCharType="begin"/>
    </w:r>
    <w:r w:rsidR="00A4737A" w:rsidRPr="00A4737A">
      <w:rPr>
        <w:sz w:val="12"/>
        <w:szCs w:val="12"/>
      </w:rPr>
      <w:instrText xml:space="preserve"> PAGE   \* MERGEFORMAT </w:instrText>
    </w:r>
    <w:r w:rsidR="00A4737A" w:rsidRPr="00A4737A">
      <w:rPr>
        <w:sz w:val="12"/>
        <w:szCs w:val="12"/>
      </w:rPr>
      <w:fldChar w:fldCharType="separate"/>
    </w:r>
    <w:r w:rsidR="00DC3606">
      <w:rPr>
        <w:noProof/>
        <w:sz w:val="12"/>
        <w:szCs w:val="12"/>
      </w:rPr>
      <w:t>5</w:t>
    </w:r>
    <w:r w:rsidR="00A4737A" w:rsidRPr="00A4737A">
      <w:rPr>
        <w:noProof/>
        <w:sz w:val="12"/>
        <w:szCs w:val="12"/>
      </w:rPr>
      <w:fldChar w:fldCharType="end"/>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E7" w:rsidRDefault="005A1BE7" w:rsidP="00E452DE">
      <w:pPr>
        <w:spacing w:before="0" w:line="240" w:lineRule="auto"/>
      </w:pPr>
      <w:r>
        <w:separator/>
      </w:r>
    </w:p>
  </w:footnote>
  <w:footnote w:type="continuationSeparator" w:id="0">
    <w:p w:rsidR="005A1BE7" w:rsidRDefault="005A1BE7" w:rsidP="00E452D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6" w:rsidRDefault="00DC3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E8" w:rsidRDefault="0018214D" w:rsidP="00DC3606">
    <w:pPr>
      <w:pStyle w:val="Header"/>
      <w:pBdr>
        <w:bottom w:val="single" w:sz="4" w:space="1" w:color="auto"/>
      </w:pBdr>
      <w:spacing w:before="760"/>
    </w:pPr>
    <w:r>
      <w:rPr>
        <w:noProof/>
        <w:lang w:eastAsia="en-AU"/>
      </w:rPr>
      <w:drawing>
        <wp:anchor distT="0" distB="0" distL="114300" distR="114300" simplePos="0" relativeHeight="251659264" behindDoc="1" locked="0" layoutInCell="1" allowOverlap="1" wp14:anchorId="33D5E45D" wp14:editId="2FA68BCB">
          <wp:simplePos x="0" y="0"/>
          <wp:positionH relativeFrom="column">
            <wp:posOffset>-8255</wp:posOffset>
          </wp:positionH>
          <wp:positionV relativeFrom="paragraph">
            <wp:posOffset>210185</wp:posOffset>
          </wp:positionV>
          <wp:extent cx="1490980" cy="380365"/>
          <wp:effectExtent l="0" t="0" r="0" b="635"/>
          <wp:wrapThrough wrapText="bothSides">
            <wp:wrapPolygon edited="0">
              <wp:start x="0" y="0"/>
              <wp:lineTo x="0" y="20554"/>
              <wp:lineTo x="21250" y="20554"/>
              <wp:lineTo x="21250" y="0"/>
              <wp:lineTo x="0" y="0"/>
            </wp:wrapPolygon>
          </wp:wrapThrough>
          <wp:docPr id="1" name="Picture 1" descr="C:\Users\turnerch\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urnerch\Desktop\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380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E8" w:rsidRDefault="009639E8" w:rsidP="00DC3606">
    <w:pPr>
      <w:pStyle w:val="Header"/>
      <w:pBdr>
        <w:bottom w:val="single" w:sz="4" w:space="1" w:color="auto"/>
      </w:pBdr>
      <w:spacing w:before="760"/>
    </w:pPr>
    <w:r>
      <w:rPr>
        <w:noProof/>
        <w:lang w:eastAsia="en-AU"/>
      </w:rPr>
      <w:drawing>
        <wp:anchor distT="0" distB="0" distL="114300" distR="114300" simplePos="0" relativeHeight="251661312" behindDoc="1" locked="0" layoutInCell="1" allowOverlap="1" wp14:anchorId="3F6EC3D8" wp14:editId="175C14B5">
          <wp:simplePos x="0" y="0"/>
          <wp:positionH relativeFrom="column">
            <wp:posOffset>-8255</wp:posOffset>
          </wp:positionH>
          <wp:positionV relativeFrom="paragraph">
            <wp:posOffset>210185</wp:posOffset>
          </wp:positionV>
          <wp:extent cx="1490980" cy="380365"/>
          <wp:effectExtent l="0" t="0" r="0" b="635"/>
          <wp:wrapThrough wrapText="bothSides">
            <wp:wrapPolygon edited="0">
              <wp:start x="0" y="0"/>
              <wp:lineTo x="0" y="20554"/>
              <wp:lineTo x="21250" y="20554"/>
              <wp:lineTo x="21250" y="0"/>
              <wp:lineTo x="0" y="0"/>
            </wp:wrapPolygon>
          </wp:wrapThrough>
          <wp:docPr id="3" name="Picture 3" descr="C:\Users\turnerch\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urnerch\Desktop\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380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DE" w:rsidRDefault="00E452DE">
    <w:pPr>
      <w:pStyle w:val="Header"/>
    </w:pPr>
    <w:r w:rsidRPr="00D62F44">
      <w:rPr>
        <w:noProof/>
        <w:lang w:eastAsia="en-AU"/>
      </w:rPr>
      <w:drawing>
        <wp:inline distT="0" distB="0" distL="0" distR="0" wp14:anchorId="66B34499" wp14:editId="065B9CEB">
          <wp:extent cx="1796602" cy="457200"/>
          <wp:effectExtent l="0" t="0" r="0" b="0"/>
          <wp:docPr id="2" name="Picture 2" descr="C:\Users\godwint\Downloads\Local_EWH-4496-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wint\Downloads\Local_EWH-4496-0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56" cy="457468"/>
                  </a:xfrm>
                  <a:prstGeom prst="rect">
                    <a:avLst/>
                  </a:prstGeom>
                  <a:noFill/>
                  <a:ln>
                    <a:noFill/>
                  </a:ln>
                </pic:spPr>
              </pic:pic>
            </a:graphicData>
          </a:graphic>
        </wp:inline>
      </w:drawing>
    </w:r>
  </w:p>
  <w:p w:rsidR="00E452DE" w:rsidRDefault="00E452DE" w:rsidP="00E452D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F3FFE"/>
    <w:multiLevelType w:val="hybridMultilevel"/>
    <w:tmpl w:val="89E8162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DE"/>
    <w:rsid w:val="000B6A5C"/>
    <w:rsid w:val="0018214D"/>
    <w:rsid w:val="00216679"/>
    <w:rsid w:val="005A1BE7"/>
    <w:rsid w:val="0066428D"/>
    <w:rsid w:val="00896023"/>
    <w:rsid w:val="009639E8"/>
    <w:rsid w:val="00A4737A"/>
    <w:rsid w:val="00CB43B9"/>
    <w:rsid w:val="00CE1A5B"/>
    <w:rsid w:val="00DC3606"/>
    <w:rsid w:val="00E452DE"/>
    <w:rsid w:val="00FB7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52DE"/>
    <w:pPr>
      <w:spacing w:before="240" w:after="0" w:line="264"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2DE"/>
  </w:style>
  <w:style w:type="paragraph" w:styleId="BalloonText">
    <w:name w:val="Balloon Text"/>
    <w:basedOn w:val="Normal"/>
    <w:link w:val="BalloonTextChar"/>
    <w:uiPriority w:val="99"/>
    <w:semiHidden/>
    <w:unhideWhenUsed/>
    <w:rsid w:val="00E452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DE"/>
    <w:rPr>
      <w:rFonts w:ascii="Tahoma" w:hAnsi="Tahoma" w:cs="Tahoma"/>
      <w:sz w:val="16"/>
      <w:szCs w:val="16"/>
    </w:rPr>
  </w:style>
  <w:style w:type="paragraph" w:styleId="Header">
    <w:name w:val="header"/>
    <w:basedOn w:val="Normal"/>
    <w:link w:val="HeaderChar"/>
    <w:unhideWhenUsed/>
    <w:rsid w:val="00E452DE"/>
    <w:pPr>
      <w:tabs>
        <w:tab w:val="center" w:pos="4513"/>
        <w:tab w:val="right" w:pos="9026"/>
      </w:tabs>
      <w:spacing w:before="0" w:line="240" w:lineRule="auto"/>
    </w:pPr>
  </w:style>
  <w:style w:type="character" w:customStyle="1" w:styleId="HeaderChar">
    <w:name w:val="Header Char"/>
    <w:basedOn w:val="DefaultParagraphFont"/>
    <w:link w:val="Header"/>
    <w:rsid w:val="00E452DE"/>
    <w:rPr>
      <w:rFonts w:ascii="Arial" w:hAnsi="Arial"/>
    </w:rPr>
  </w:style>
  <w:style w:type="paragraph" w:styleId="Footer">
    <w:name w:val="footer"/>
    <w:basedOn w:val="Normal"/>
    <w:link w:val="FooterChar"/>
    <w:uiPriority w:val="99"/>
    <w:unhideWhenUsed/>
    <w:rsid w:val="00E452D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452DE"/>
    <w:rPr>
      <w:rFonts w:ascii="Arial" w:hAnsi="Arial"/>
    </w:rPr>
  </w:style>
  <w:style w:type="paragraph" w:styleId="BodyText">
    <w:name w:val="Body Text"/>
    <w:basedOn w:val="Normal"/>
    <w:link w:val="BodyTextChar"/>
    <w:uiPriority w:val="1"/>
    <w:qFormat/>
    <w:rsid w:val="0018214D"/>
    <w:pPr>
      <w:ind w:left="492"/>
    </w:pPr>
    <w:rPr>
      <w:rFonts w:eastAsia="Arial"/>
    </w:rPr>
  </w:style>
  <w:style w:type="character" w:customStyle="1" w:styleId="BodyTextChar">
    <w:name w:val="Body Text Char"/>
    <w:basedOn w:val="DefaultParagraphFont"/>
    <w:link w:val="BodyText"/>
    <w:uiPriority w:val="1"/>
    <w:rsid w:val="0018214D"/>
    <w:rPr>
      <w:rFonts w:ascii="Arial" w:eastAsia="Arial" w:hAnsi="Arial"/>
    </w:rPr>
  </w:style>
  <w:style w:type="table" w:customStyle="1" w:styleId="TableStyle">
    <w:name w:val="Table Style"/>
    <w:basedOn w:val="TableNormal"/>
    <w:rsid w:val="0018214D"/>
    <w:pPr>
      <w:spacing w:after="120" w:line="240" w:lineRule="auto"/>
    </w:pPr>
    <w:rPr>
      <w:rFonts w:ascii="Arial" w:eastAsia="Arial" w:hAnsi="Arial" w:cs="Arial"/>
      <w:sz w:val="18"/>
      <w:szCs w:val="20"/>
      <w:lang w:val="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52DE"/>
    <w:pPr>
      <w:spacing w:before="240" w:after="0" w:line="264"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2DE"/>
  </w:style>
  <w:style w:type="paragraph" w:styleId="BalloonText">
    <w:name w:val="Balloon Text"/>
    <w:basedOn w:val="Normal"/>
    <w:link w:val="BalloonTextChar"/>
    <w:uiPriority w:val="99"/>
    <w:semiHidden/>
    <w:unhideWhenUsed/>
    <w:rsid w:val="00E452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DE"/>
    <w:rPr>
      <w:rFonts w:ascii="Tahoma" w:hAnsi="Tahoma" w:cs="Tahoma"/>
      <w:sz w:val="16"/>
      <w:szCs w:val="16"/>
    </w:rPr>
  </w:style>
  <w:style w:type="paragraph" w:styleId="Header">
    <w:name w:val="header"/>
    <w:basedOn w:val="Normal"/>
    <w:link w:val="HeaderChar"/>
    <w:unhideWhenUsed/>
    <w:rsid w:val="00E452DE"/>
    <w:pPr>
      <w:tabs>
        <w:tab w:val="center" w:pos="4513"/>
        <w:tab w:val="right" w:pos="9026"/>
      </w:tabs>
      <w:spacing w:before="0" w:line="240" w:lineRule="auto"/>
    </w:pPr>
  </w:style>
  <w:style w:type="character" w:customStyle="1" w:styleId="HeaderChar">
    <w:name w:val="Header Char"/>
    <w:basedOn w:val="DefaultParagraphFont"/>
    <w:link w:val="Header"/>
    <w:rsid w:val="00E452DE"/>
    <w:rPr>
      <w:rFonts w:ascii="Arial" w:hAnsi="Arial"/>
    </w:rPr>
  </w:style>
  <w:style w:type="paragraph" w:styleId="Footer">
    <w:name w:val="footer"/>
    <w:basedOn w:val="Normal"/>
    <w:link w:val="FooterChar"/>
    <w:uiPriority w:val="99"/>
    <w:unhideWhenUsed/>
    <w:rsid w:val="00E452D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452DE"/>
    <w:rPr>
      <w:rFonts w:ascii="Arial" w:hAnsi="Arial"/>
    </w:rPr>
  </w:style>
  <w:style w:type="paragraph" w:styleId="BodyText">
    <w:name w:val="Body Text"/>
    <w:basedOn w:val="Normal"/>
    <w:link w:val="BodyTextChar"/>
    <w:uiPriority w:val="1"/>
    <w:qFormat/>
    <w:rsid w:val="0018214D"/>
    <w:pPr>
      <w:ind w:left="492"/>
    </w:pPr>
    <w:rPr>
      <w:rFonts w:eastAsia="Arial"/>
    </w:rPr>
  </w:style>
  <w:style w:type="character" w:customStyle="1" w:styleId="BodyTextChar">
    <w:name w:val="Body Text Char"/>
    <w:basedOn w:val="DefaultParagraphFont"/>
    <w:link w:val="BodyText"/>
    <w:uiPriority w:val="1"/>
    <w:rsid w:val="0018214D"/>
    <w:rPr>
      <w:rFonts w:ascii="Arial" w:eastAsia="Arial" w:hAnsi="Arial"/>
    </w:rPr>
  </w:style>
  <w:style w:type="table" w:customStyle="1" w:styleId="TableStyle">
    <w:name w:val="Table Style"/>
    <w:basedOn w:val="TableNormal"/>
    <w:rsid w:val="0018214D"/>
    <w:pPr>
      <w:spacing w:after="120" w:line="240" w:lineRule="auto"/>
    </w:pPr>
    <w:rPr>
      <w:rFonts w:ascii="Arial" w:eastAsia="Arial" w:hAnsi="Arial" w:cs="Arial"/>
      <w:sz w:val="18"/>
      <w:szCs w:val="20"/>
      <w:lang w:val="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ACFB-820A-42ED-8459-1AEFEC00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turnerch</dc:creator>
  <cp:lastModifiedBy>Environmental Sustainability Unit</cp:lastModifiedBy>
  <cp:revision>3</cp:revision>
  <dcterms:created xsi:type="dcterms:W3CDTF">2015-07-02T05:31:00Z</dcterms:created>
  <dcterms:modified xsi:type="dcterms:W3CDTF">2015-07-07T01:54:00Z</dcterms:modified>
</cp:coreProperties>
</file>